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5F8B0" w14:textId="77777777" w:rsidR="00C0109C" w:rsidRPr="00473897" w:rsidRDefault="00C0109C" w:rsidP="005B1019">
      <w:pPr>
        <w:jc w:val="center"/>
        <w:rPr>
          <w:b/>
          <w:sz w:val="32"/>
        </w:rPr>
      </w:pPr>
      <w:r w:rsidRPr="00473897">
        <w:rPr>
          <w:b/>
          <w:sz w:val="32"/>
        </w:rPr>
        <w:t>TECHNICKÁ ZPRÁVA</w:t>
      </w:r>
    </w:p>
    <w:p w14:paraId="46024424" w14:textId="77777777" w:rsidR="00C0109C" w:rsidRDefault="00C0109C" w:rsidP="000F291C">
      <w:pPr>
        <w:jc w:val="both"/>
        <w:rPr>
          <w:b/>
          <w:color w:val="FF0000"/>
          <w:sz w:val="24"/>
          <w:u w:val="single"/>
        </w:rPr>
      </w:pPr>
    </w:p>
    <w:p w14:paraId="5FFCE880" w14:textId="77777777" w:rsidR="005B1019" w:rsidRDefault="005B1019">
      <w:pPr>
        <w:pStyle w:val="Nadpisobsahu"/>
      </w:pPr>
      <w:r>
        <w:t>Obsah</w:t>
      </w:r>
    </w:p>
    <w:p w14:paraId="70B9FCBF" w14:textId="43206F0C" w:rsidR="007071CA" w:rsidRDefault="005B101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4356278" w:history="1">
        <w:r w:rsidR="007071CA" w:rsidRPr="00D22049">
          <w:rPr>
            <w:rStyle w:val="Hypertextovodkaz"/>
            <w:noProof/>
          </w:rPr>
          <w:t>Seznam použitých zkratek:</w:t>
        </w:r>
        <w:r w:rsidR="007071CA">
          <w:rPr>
            <w:noProof/>
            <w:webHidden/>
          </w:rPr>
          <w:tab/>
        </w:r>
        <w:r w:rsidR="007071CA">
          <w:rPr>
            <w:noProof/>
            <w:webHidden/>
          </w:rPr>
          <w:fldChar w:fldCharType="begin"/>
        </w:r>
        <w:r w:rsidR="007071CA">
          <w:rPr>
            <w:noProof/>
            <w:webHidden/>
          </w:rPr>
          <w:instrText xml:space="preserve"> PAGEREF _Toc64356278 \h </w:instrText>
        </w:r>
        <w:r w:rsidR="007071CA">
          <w:rPr>
            <w:noProof/>
            <w:webHidden/>
          </w:rPr>
        </w:r>
        <w:r w:rsidR="007071CA">
          <w:rPr>
            <w:noProof/>
            <w:webHidden/>
          </w:rPr>
          <w:fldChar w:fldCharType="separate"/>
        </w:r>
        <w:r w:rsidR="007071CA">
          <w:rPr>
            <w:noProof/>
            <w:webHidden/>
          </w:rPr>
          <w:t>2</w:t>
        </w:r>
        <w:r w:rsidR="007071CA">
          <w:rPr>
            <w:noProof/>
            <w:webHidden/>
          </w:rPr>
          <w:fldChar w:fldCharType="end"/>
        </w:r>
      </w:hyperlink>
    </w:p>
    <w:p w14:paraId="2A222EAA" w14:textId="3B9822AE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79" w:history="1">
        <w:r w:rsidRPr="00D22049">
          <w:rPr>
            <w:rStyle w:val="Hypertextovodkaz"/>
            <w:noProof/>
          </w:rPr>
          <w:t>1.0  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64EC39" w14:textId="43990931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0" w:history="1">
        <w:r w:rsidRPr="00D22049">
          <w:rPr>
            <w:rStyle w:val="Hypertextovodkaz"/>
            <w:noProof/>
          </w:rPr>
          <w:t>1.1 Dotčené parcely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C736F3" w14:textId="5FF72B90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1" w:history="1">
        <w:r w:rsidRPr="00D22049">
          <w:rPr>
            <w:rStyle w:val="Hypertextovodkaz"/>
            <w:noProof/>
          </w:rPr>
          <w:t>2.0  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93E603" w14:textId="3DDF9D78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2" w:history="1">
        <w:r w:rsidRPr="00D22049">
          <w:rPr>
            <w:rStyle w:val="Hypertextovodkaz"/>
            <w:noProof/>
          </w:rPr>
          <w:t>2.1 Normy a předpisy pro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BEBE3D9" w14:textId="794C3394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3" w:history="1">
        <w:r w:rsidRPr="00D22049">
          <w:rPr>
            <w:rStyle w:val="Hypertextovodkaz"/>
            <w:noProof/>
          </w:rPr>
          <w:t>2.2  Stávající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90BEBE" w14:textId="67135711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4" w:history="1">
        <w:r w:rsidRPr="00D22049">
          <w:rPr>
            <w:rStyle w:val="Hypertextovodkaz"/>
            <w:noProof/>
          </w:rPr>
          <w:t>3.0  ŘEŠENÍ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2F260BB" w14:textId="589C46C0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5" w:history="1">
        <w:r w:rsidRPr="00D22049">
          <w:rPr>
            <w:rStyle w:val="Hypertextovodkaz"/>
            <w:noProof/>
          </w:rPr>
          <w:t>3.1  Základy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775BA60" w14:textId="4DC49ED2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6" w:history="1">
        <w:r w:rsidRPr="00D22049">
          <w:rPr>
            <w:rStyle w:val="Hypertextovodkaz"/>
            <w:noProof/>
          </w:rPr>
          <w:t>3.2  Stožáry a nosné brány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A7BE9EA" w14:textId="3497E468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7" w:history="1">
        <w:r w:rsidRPr="00D22049">
          <w:rPr>
            <w:rStyle w:val="Hypertextovodkaz"/>
            <w:noProof/>
          </w:rPr>
          <w:t>3.3  Napájení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EC98534" w14:textId="6A88AFF2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8" w:history="1">
        <w:r w:rsidRPr="00D22049">
          <w:rPr>
            <w:rStyle w:val="Hypertextovodkaz"/>
            <w:noProof/>
          </w:rPr>
          <w:t>3.4  Použitá sestava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081BDE" w14:textId="603A16E4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89" w:history="1">
        <w:r w:rsidRPr="00D22049">
          <w:rPr>
            <w:rStyle w:val="Hypertextovodkaz"/>
            <w:noProof/>
          </w:rPr>
          <w:t>3.5  Pevné body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21F6C8" w14:textId="283F8660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0" w:history="1">
        <w:r w:rsidRPr="00D22049">
          <w:rPr>
            <w:rStyle w:val="Hypertextovodkaz"/>
            <w:noProof/>
          </w:rPr>
          <w:t>3.6  Závěsy na konzolách a branách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005160B" w14:textId="03EEE02E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1" w:history="1">
        <w:r w:rsidRPr="00D22049">
          <w:rPr>
            <w:rStyle w:val="Hypertextovodkaz"/>
            <w:noProof/>
          </w:rPr>
          <w:t>3.7  Výška trolejového drátu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E2B9776" w14:textId="455DE0C3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2" w:history="1">
        <w:r w:rsidRPr="00D22049">
          <w:rPr>
            <w:rStyle w:val="Hypertextovodkaz"/>
            <w:noProof/>
          </w:rPr>
          <w:t>3.8  Zesilovací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5E6030" w14:textId="526F10E9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3" w:history="1">
        <w:r w:rsidRPr="00D22049">
          <w:rPr>
            <w:rStyle w:val="Hypertextovodkaz"/>
            <w:noProof/>
          </w:rPr>
          <w:t>3.9  Osvětlení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9CCE82" w14:textId="12718D54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4" w:history="1">
        <w:r w:rsidRPr="00D22049">
          <w:rPr>
            <w:rStyle w:val="Hypertextovodkaz"/>
            <w:noProof/>
          </w:rPr>
          <w:t>3.10 Závěsný kabel 22kV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EAB0621" w14:textId="1F36F8AB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5" w:history="1">
        <w:r w:rsidRPr="00D22049">
          <w:rPr>
            <w:rStyle w:val="Hypertextovodkaz"/>
            <w:noProof/>
          </w:rPr>
          <w:t>3.11 Závěsný optický kabel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216DC9A" w14:textId="4AFC2407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6" w:history="1">
        <w:r w:rsidRPr="00D22049">
          <w:rPr>
            <w:rStyle w:val="Hypertextovodkaz"/>
            <w:noProof/>
          </w:rPr>
          <w:t>4.0  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219FE1F" w14:textId="7E4A7BF4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7" w:history="1">
        <w:r w:rsidRPr="00D22049">
          <w:rPr>
            <w:rStyle w:val="Hypertextovodkaz"/>
            <w:noProof/>
          </w:rPr>
          <w:t>4.1 Základní ochrana (ochrana před dotykem 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A36E6F7" w14:textId="304350C0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8" w:history="1">
        <w:r w:rsidRPr="00D22049">
          <w:rPr>
            <w:rStyle w:val="Hypertextovodkaz"/>
            <w:noProof/>
          </w:rPr>
          <w:t>4.2 Ochrana při poruše (Ochrana před nebezpečným dotykem neživých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7478DBC" w14:textId="0DBB1880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299" w:history="1">
        <w:r w:rsidRPr="00D22049">
          <w:rPr>
            <w:rStyle w:val="Hypertextovodkaz"/>
            <w:noProof/>
          </w:rPr>
          <w:t>4.3  Ochrana před přepětím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F1556BC" w14:textId="7CC6C140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0" w:history="1">
        <w:r w:rsidRPr="00D22049">
          <w:rPr>
            <w:rStyle w:val="Hypertextovodkaz"/>
            <w:noProof/>
          </w:rPr>
          <w:t>5.0 ZPĚTNÉ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0AD6AA7" w14:textId="74C4B9C1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1" w:history="1">
        <w:r w:rsidRPr="00D22049">
          <w:rPr>
            <w:rStyle w:val="Hypertextovodkaz"/>
            <w:noProof/>
          </w:rPr>
          <w:t>6.0  REALIZACE PROJEKTU A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7E141FD" w14:textId="1063A61A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2" w:history="1">
        <w:r w:rsidRPr="00D22049">
          <w:rPr>
            <w:rStyle w:val="Hypertextovodkaz"/>
            <w:noProof/>
          </w:rPr>
          <w:t>6.1  Stavebně-montážní postupy úprav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AD5F06" w14:textId="078B8D4A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3" w:history="1">
        <w:r w:rsidRPr="00D22049">
          <w:rPr>
            <w:rStyle w:val="Hypertextovodkaz"/>
            <w:noProof/>
          </w:rPr>
          <w:t>6.2  Montáž definitivního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1235A66" w14:textId="07358775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4" w:history="1">
        <w:r w:rsidRPr="00D22049">
          <w:rPr>
            <w:rStyle w:val="Hypertextovodkaz"/>
            <w:noProof/>
          </w:rPr>
          <w:t>6.3  Demontáž stávajícího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44FC024" w14:textId="79ED560E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5" w:history="1">
        <w:r w:rsidRPr="00D22049">
          <w:rPr>
            <w:rStyle w:val="Hypertextovodkaz"/>
            <w:noProof/>
          </w:rPr>
          <w:t>6.4 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28AEAAF" w14:textId="2729F38B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6" w:history="1">
        <w:r w:rsidRPr="00D22049">
          <w:rPr>
            <w:rStyle w:val="Hypertextovodkaz"/>
            <w:noProof/>
          </w:rPr>
          <w:t>6.5 Návrh stavebních postupů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65A31F6" w14:textId="4BD97481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7" w:history="1">
        <w:r w:rsidRPr="00D22049">
          <w:rPr>
            <w:rStyle w:val="Hypertextovodkaz"/>
            <w:noProof/>
          </w:rPr>
          <w:t>7.0  OCHRANNÁ A BEZPEČNOSTNÍ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D3B83E8" w14:textId="38D9F98D" w:rsidR="007071CA" w:rsidRDefault="007071CA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8" w:history="1">
        <w:r w:rsidRPr="00D22049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D22049">
          <w:rPr>
            <w:rStyle w:val="Hypertextovodkaz"/>
            <w:noProof/>
          </w:rPr>
          <w:t>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F403771" w14:textId="2F09D252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09" w:history="1">
        <w:r w:rsidRPr="00D22049">
          <w:rPr>
            <w:rStyle w:val="Hypertextovodkaz"/>
            <w:noProof/>
          </w:rPr>
          <w:t>7.2  Návěstidla pro elektrický provoz dle předpisu SŽDC D1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D9BD3EC" w14:textId="3DBAE1AF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0" w:history="1">
        <w:r w:rsidRPr="00D22049">
          <w:rPr>
            <w:rStyle w:val="Hypertextovodkaz"/>
            <w:noProof/>
          </w:rPr>
          <w:t>7.3  Nátěry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E1DF7D4" w14:textId="5989CACA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1" w:history="1">
        <w:r w:rsidRPr="00D22049">
          <w:rPr>
            <w:rStyle w:val="Hypertextovodkaz"/>
            <w:noProof/>
          </w:rPr>
          <w:t>7.4  Ukolejnění podpěr TV a ocelových konstrukcí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EB9337E" w14:textId="7964DA24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2" w:history="1">
        <w:r w:rsidRPr="00D22049">
          <w:rPr>
            <w:rStyle w:val="Hypertextovodkaz"/>
            <w:noProof/>
          </w:rPr>
          <w:t>7.5  Ochrana proti atmosférickému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1F93A73" w14:textId="22A3A249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3" w:history="1">
        <w:r w:rsidRPr="00D22049">
          <w:rPr>
            <w:rStyle w:val="Hypertextovodkaz"/>
            <w:noProof/>
          </w:rPr>
          <w:t>6.3 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14400CE" w14:textId="54116D45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4" w:history="1">
        <w:r w:rsidRPr="00D22049">
          <w:rPr>
            <w:rStyle w:val="Hypertextovodkaz"/>
            <w:noProof/>
          </w:rPr>
          <w:t>8.0 Ochrana a bezpečnost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8DFAD10" w14:textId="19D1A6CD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5" w:history="1">
        <w:r w:rsidRPr="00D22049">
          <w:rPr>
            <w:rStyle w:val="Hypertextovodkaz"/>
            <w:noProof/>
          </w:rPr>
          <w:t>9.0 Různé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7FF0A91" w14:textId="4BF76931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6" w:history="1">
        <w:r w:rsidRPr="00D22049">
          <w:rPr>
            <w:rStyle w:val="Hypertextovodkaz"/>
            <w:noProof/>
          </w:rPr>
          <w:t>9.1 Způsob uvádění UTZ/E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E4528A8" w14:textId="023DCDC2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7" w:history="1">
        <w:r w:rsidRPr="00D22049">
          <w:rPr>
            <w:rStyle w:val="Hypertextovodkaz"/>
            <w:noProof/>
          </w:rPr>
          <w:t>9.2 Určení vnějších vlivů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E356F8C" w14:textId="531B44D6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8" w:history="1">
        <w:r w:rsidRPr="00D22049">
          <w:rPr>
            <w:rStyle w:val="Hypertextovodkaz"/>
            <w:noProof/>
          </w:rPr>
          <w:t>9.3 Odpadové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30548BE" w14:textId="6EBE2D5B" w:rsidR="007071CA" w:rsidRDefault="007071CA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19" w:history="1">
        <w:r w:rsidRPr="00D22049">
          <w:rPr>
            <w:rStyle w:val="Hypertextovodkaz"/>
            <w:noProof/>
          </w:rPr>
          <w:t>9.4 Doklady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CC476AB" w14:textId="015FA8E3" w:rsidR="007071CA" w:rsidRDefault="007071CA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6320" w:history="1">
        <w:r w:rsidRPr="00D22049">
          <w:rPr>
            <w:rStyle w:val="Hypertextovodkaz"/>
            <w:noProof/>
          </w:rPr>
          <w:t>10.0 Základní parametry subsystému „Energie“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_Toc64356320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A906B05" w14:textId="58094933" w:rsidR="007071CA" w:rsidRDefault="005B1019" w:rsidP="007071CA">
      <w:pPr>
        <w:rPr>
          <w:b/>
          <w:bCs/>
        </w:rPr>
      </w:pPr>
      <w:r>
        <w:rPr>
          <w:b/>
          <w:bCs/>
        </w:rPr>
        <w:fldChar w:fldCharType="end"/>
      </w:r>
      <w:bookmarkStart w:id="0" w:name="_Toc463944070"/>
      <w:bookmarkStart w:id="1" w:name="_Toc466382993"/>
      <w:bookmarkStart w:id="2" w:name="_Toc523388699"/>
      <w:bookmarkStart w:id="3" w:name="_Toc524707501"/>
    </w:p>
    <w:p w14:paraId="3571DEF8" w14:textId="77777777" w:rsidR="007071CA" w:rsidRDefault="007071CA" w:rsidP="007071CA"/>
    <w:p w14:paraId="536BF3FD" w14:textId="77777777" w:rsidR="007071CA" w:rsidRDefault="007071CA" w:rsidP="005B1019">
      <w:pPr>
        <w:pStyle w:val="Nzev"/>
      </w:pPr>
    </w:p>
    <w:p w14:paraId="6ACE24AD" w14:textId="01667A3C" w:rsidR="005B1019" w:rsidRPr="00EF7D31" w:rsidRDefault="005B1019" w:rsidP="005B1019">
      <w:pPr>
        <w:pStyle w:val="Nzev"/>
      </w:pPr>
      <w:bookmarkStart w:id="4" w:name="_Toc64356278"/>
      <w:r w:rsidRPr="00EF7D31">
        <w:t>Seznam použitých zkratek:</w:t>
      </w:r>
      <w:bookmarkEnd w:id="0"/>
      <w:bookmarkEnd w:id="1"/>
      <w:bookmarkEnd w:id="2"/>
      <w:bookmarkEnd w:id="3"/>
      <w:bookmarkEnd w:id="4"/>
    </w:p>
    <w:p w14:paraId="0161FCA2" w14:textId="77777777" w:rsidR="005B1019" w:rsidRPr="00CE5A32" w:rsidRDefault="005B1019" w:rsidP="005B1019">
      <w:pPr>
        <w:spacing w:after="60"/>
      </w:pPr>
      <w:r w:rsidRPr="00CE5A32">
        <w:t>a.s.</w:t>
      </w:r>
      <w:r w:rsidRPr="00CE5A32">
        <w:tab/>
      </w:r>
      <w:r w:rsidRPr="00CE5A32">
        <w:tab/>
        <w:t>akciová společnost</w:t>
      </w:r>
    </w:p>
    <w:p w14:paraId="27258907" w14:textId="77777777" w:rsidR="005B1019" w:rsidRDefault="005B1019" w:rsidP="005B1019">
      <w:pPr>
        <w:spacing w:after="60"/>
      </w:pPr>
      <w:r>
        <w:t>BOZP</w:t>
      </w:r>
      <w:r>
        <w:tab/>
      </w:r>
      <w:r>
        <w:tab/>
        <w:t>bezpečnost a ochrana zdraví při práci</w:t>
      </w:r>
    </w:p>
    <w:p w14:paraId="66069188" w14:textId="77777777" w:rsidR="005B1019" w:rsidRPr="00CE5A32" w:rsidRDefault="005B1019" w:rsidP="005B1019">
      <w:pPr>
        <w:spacing w:after="60"/>
      </w:pPr>
      <w:r w:rsidRPr="00CE5A32">
        <w:t>CETIN a.s.</w:t>
      </w:r>
      <w:r w:rsidRPr="00CE5A32">
        <w:tab/>
        <w:t>Česká telekomunikační infrastruktura a.s.</w:t>
      </w:r>
    </w:p>
    <w:p w14:paraId="2509F865" w14:textId="77777777" w:rsidR="005B1019" w:rsidRPr="00037A14" w:rsidRDefault="005B1019" w:rsidP="005B1019">
      <w:pPr>
        <w:spacing w:after="60"/>
      </w:pPr>
      <w:r w:rsidRPr="00037A14">
        <w:t>CIN</w:t>
      </w:r>
      <w:r w:rsidRPr="00037A14">
        <w:tab/>
      </w:r>
      <w:r w:rsidRPr="00037A14">
        <w:tab/>
        <w:t>celkové investiční náklady</w:t>
      </w:r>
    </w:p>
    <w:p w14:paraId="0A8AFEBB" w14:textId="77777777" w:rsidR="005B1019" w:rsidRPr="00CE5A32" w:rsidRDefault="005B1019" w:rsidP="005B1019">
      <w:pPr>
        <w:spacing w:after="60"/>
      </w:pPr>
      <w:r w:rsidRPr="00CE5A32">
        <w:t>č.</w:t>
      </w:r>
      <w:r w:rsidRPr="00CE5A32">
        <w:tab/>
      </w:r>
      <w:r w:rsidRPr="00CE5A32">
        <w:tab/>
        <w:t>číslo</w:t>
      </w:r>
    </w:p>
    <w:p w14:paraId="115AFCB7" w14:textId="77777777" w:rsidR="005B1019" w:rsidRPr="00CE5A32" w:rsidRDefault="00516A40" w:rsidP="005B1019">
      <w:pPr>
        <w:spacing w:after="60"/>
      </w:pPr>
      <w:r>
        <w:t>ČD, a.s.</w:t>
      </w:r>
      <w:r>
        <w:tab/>
      </w:r>
      <w:r w:rsidR="005B1019" w:rsidRPr="00CE5A32">
        <w:t>České dráhy, a.s.</w:t>
      </w:r>
    </w:p>
    <w:p w14:paraId="6A9DB578" w14:textId="77777777" w:rsidR="005B1019" w:rsidRPr="00CE5A32" w:rsidRDefault="005B1019" w:rsidP="005B1019">
      <w:pPr>
        <w:spacing w:after="60"/>
      </w:pPr>
      <w:r w:rsidRPr="00CE5A32">
        <w:t>DSP</w:t>
      </w:r>
      <w:r w:rsidRPr="00CE5A32">
        <w:tab/>
      </w:r>
      <w:r w:rsidRPr="00CE5A32">
        <w:tab/>
        <w:t>dokumentace pro stavební povolení</w:t>
      </w:r>
    </w:p>
    <w:p w14:paraId="3F47B740" w14:textId="77777777" w:rsidR="005B1019" w:rsidRPr="00037A14" w:rsidRDefault="005B1019" w:rsidP="005B1019">
      <w:pPr>
        <w:spacing w:after="60"/>
      </w:pPr>
      <w:r w:rsidRPr="00037A14">
        <w:t>GŘ</w:t>
      </w:r>
      <w:r w:rsidRPr="00037A14">
        <w:tab/>
      </w:r>
      <w:r w:rsidRPr="00037A14">
        <w:tab/>
        <w:t>Generální ředitelství</w:t>
      </w:r>
    </w:p>
    <w:p w14:paraId="3D4DF95A" w14:textId="77777777" w:rsidR="005B1019" w:rsidRPr="00037A14" w:rsidRDefault="005B1019" w:rsidP="005B1019">
      <w:pPr>
        <w:spacing w:after="60"/>
      </w:pPr>
      <w:r w:rsidRPr="00037A14">
        <w:t>LPF</w:t>
      </w:r>
      <w:r w:rsidRPr="00037A14">
        <w:tab/>
      </w:r>
      <w:r w:rsidRPr="00037A14">
        <w:tab/>
        <w:t>lesní půdní fond</w:t>
      </w:r>
    </w:p>
    <w:p w14:paraId="7363C922" w14:textId="77777777" w:rsidR="005B1019" w:rsidRPr="00037A14" w:rsidRDefault="005B1019" w:rsidP="005B1019">
      <w:pPr>
        <w:spacing w:after="60"/>
      </w:pPr>
      <w:r w:rsidRPr="00037A14">
        <w:t>mil. Kč</w:t>
      </w:r>
      <w:r w:rsidRPr="00037A14">
        <w:tab/>
      </w:r>
      <w:r w:rsidRPr="00037A14">
        <w:tab/>
        <w:t>milion korun českých</w:t>
      </w:r>
    </w:p>
    <w:p w14:paraId="56281C94" w14:textId="77777777" w:rsidR="005B1019" w:rsidRPr="00037A14" w:rsidRDefault="005B1019" w:rsidP="005B1019">
      <w:pPr>
        <w:spacing w:after="60"/>
      </w:pPr>
      <w:r w:rsidRPr="00037A14">
        <w:t>odst.</w:t>
      </w:r>
      <w:r w:rsidRPr="00037A14">
        <w:tab/>
      </w:r>
      <w:r w:rsidRPr="00037A14">
        <w:tab/>
        <w:t>odstavec</w:t>
      </w:r>
    </w:p>
    <w:p w14:paraId="5BDD4416" w14:textId="77777777" w:rsidR="005B1019" w:rsidRPr="00CE5A32" w:rsidRDefault="005B1019" w:rsidP="005B1019">
      <w:pPr>
        <w:spacing w:after="60"/>
      </w:pPr>
      <w:r w:rsidRPr="00CE5A32">
        <w:t>OŘ</w:t>
      </w:r>
      <w:r w:rsidRPr="00CE5A32">
        <w:tab/>
      </w:r>
      <w:r w:rsidRPr="00CE5A32">
        <w:tab/>
        <w:t>Oblastní ředitelství</w:t>
      </w:r>
    </w:p>
    <w:p w14:paraId="5289F687" w14:textId="77777777" w:rsidR="005B1019" w:rsidRDefault="005B1019" w:rsidP="005B1019">
      <w:pPr>
        <w:spacing w:after="60"/>
      </w:pPr>
      <w:r>
        <w:t>PS</w:t>
      </w:r>
      <w:r>
        <w:tab/>
      </w:r>
      <w:r>
        <w:tab/>
        <w:t>provozní soubor</w:t>
      </w:r>
    </w:p>
    <w:p w14:paraId="11C38086" w14:textId="77777777" w:rsidR="005B1019" w:rsidRPr="00037A14" w:rsidRDefault="005B1019" w:rsidP="005B1019">
      <w:pPr>
        <w:spacing w:after="60"/>
      </w:pPr>
      <w:r w:rsidRPr="00037A14">
        <w:t>PUPFL</w:t>
      </w:r>
      <w:r w:rsidRPr="00037A14">
        <w:tab/>
      </w:r>
      <w:r w:rsidRPr="00037A14">
        <w:tab/>
        <w:t>pozemek určený k funkci lesa</w:t>
      </w:r>
    </w:p>
    <w:p w14:paraId="1426423D" w14:textId="77777777" w:rsidR="005B1019" w:rsidRPr="00CE5A32" w:rsidRDefault="005B1019" w:rsidP="005B1019">
      <w:pPr>
        <w:spacing w:after="60"/>
      </w:pPr>
      <w:r w:rsidRPr="00CE5A32">
        <w:t xml:space="preserve">Sb. </w:t>
      </w:r>
      <w:r w:rsidRPr="00CE5A32">
        <w:tab/>
      </w:r>
      <w:r w:rsidRPr="00CE5A32">
        <w:tab/>
        <w:t>sbírky</w:t>
      </w:r>
    </w:p>
    <w:p w14:paraId="1AC7E26C" w14:textId="77777777" w:rsidR="005B1019" w:rsidRDefault="005B1019" w:rsidP="005B1019">
      <w:pPr>
        <w:spacing w:after="60"/>
      </w:pPr>
      <w:r>
        <w:t>SBBH</w:t>
      </w:r>
      <w:r>
        <w:tab/>
      </w:r>
      <w:r>
        <w:tab/>
      </w:r>
      <w:r w:rsidRPr="00DA07B9">
        <w:t>Správa budov a bytového hospodářství</w:t>
      </w:r>
    </w:p>
    <w:p w14:paraId="01460EEC" w14:textId="77777777" w:rsidR="005B1019" w:rsidRPr="00CE5A32" w:rsidRDefault="005B1019" w:rsidP="005B1019">
      <w:pPr>
        <w:spacing w:after="60"/>
      </w:pPr>
      <w:r w:rsidRPr="00CE5A32">
        <w:t>SEE</w:t>
      </w:r>
      <w:r w:rsidRPr="00CE5A32">
        <w:tab/>
      </w:r>
      <w:r w:rsidRPr="00CE5A32">
        <w:tab/>
        <w:t>Správa elektrotechniky a energetiky</w:t>
      </w:r>
    </w:p>
    <w:p w14:paraId="77B7245C" w14:textId="77777777" w:rsidR="005B1019" w:rsidRDefault="005B1019" w:rsidP="005B1019">
      <w:pPr>
        <w:spacing w:after="60"/>
      </w:pPr>
      <w:r w:rsidRPr="00037A14">
        <w:t>SO</w:t>
      </w:r>
      <w:r w:rsidRPr="00037A14">
        <w:tab/>
      </w:r>
      <w:r w:rsidRPr="00037A14">
        <w:tab/>
        <w:t>stavební objekt</w:t>
      </w:r>
    </w:p>
    <w:p w14:paraId="47FAD934" w14:textId="77777777" w:rsidR="00C25D1B" w:rsidRPr="00037A14" w:rsidRDefault="00C25D1B" w:rsidP="005B1019">
      <w:pPr>
        <w:spacing w:after="60"/>
      </w:pPr>
      <w:bookmarkStart w:id="5" w:name="_Hlk31383411"/>
      <w:r>
        <w:t>s. o.</w:t>
      </w:r>
      <w:r>
        <w:tab/>
      </w:r>
      <w:r>
        <w:tab/>
        <w:t>státní organizace</w:t>
      </w:r>
    </w:p>
    <w:bookmarkEnd w:id="5"/>
    <w:p w14:paraId="7D6B87F6" w14:textId="77777777" w:rsidR="005B1019" w:rsidRPr="00037A14" w:rsidRDefault="00516A40" w:rsidP="005B1019">
      <w:pPr>
        <w:spacing w:after="60"/>
      </w:pPr>
      <w:r>
        <w:t>spis. zn.</w:t>
      </w:r>
      <w:r>
        <w:tab/>
      </w:r>
      <w:r w:rsidR="00C25D1B">
        <w:tab/>
      </w:r>
      <w:r w:rsidR="005B1019" w:rsidRPr="00037A14">
        <w:t>spisová značka</w:t>
      </w:r>
    </w:p>
    <w:p w14:paraId="214BF409" w14:textId="77777777" w:rsidR="005B1019" w:rsidRPr="00CE5A32" w:rsidRDefault="005B1019" w:rsidP="005B1019">
      <w:pPr>
        <w:spacing w:after="60"/>
      </w:pPr>
      <w:r w:rsidRPr="00CE5A32">
        <w:t>s.r.o.</w:t>
      </w:r>
      <w:r w:rsidRPr="00CE5A32">
        <w:tab/>
      </w:r>
      <w:r w:rsidRPr="00CE5A32">
        <w:tab/>
        <w:t>společnost s ručením omezeným</w:t>
      </w:r>
    </w:p>
    <w:p w14:paraId="79DDC6EC" w14:textId="77777777" w:rsidR="005B1019" w:rsidRDefault="005B1019" w:rsidP="005B1019">
      <w:pPr>
        <w:spacing w:after="60"/>
        <w:rPr>
          <w:highlight w:val="yellow"/>
        </w:rPr>
      </w:pPr>
      <w:r>
        <w:t>SSZT</w:t>
      </w:r>
      <w:r>
        <w:tab/>
      </w:r>
      <w:r>
        <w:tab/>
      </w:r>
      <w:r w:rsidRPr="00DA07B9">
        <w:t>Správa sdělovací a zabezpečovací techniky</w:t>
      </w:r>
    </w:p>
    <w:p w14:paraId="4C253AC7" w14:textId="77777777" w:rsidR="005B1019" w:rsidRPr="00037A14" w:rsidRDefault="005B1019" w:rsidP="005B1019">
      <w:pPr>
        <w:spacing w:after="60"/>
      </w:pPr>
      <w:r w:rsidRPr="00037A14">
        <w:t>STL</w:t>
      </w:r>
      <w:r w:rsidRPr="00037A14">
        <w:tab/>
      </w:r>
      <w:r w:rsidRPr="00037A14">
        <w:tab/>
        <w:t>středotlaký</w:t>
      </w:r>
    </w:p>
    <w:p w14:paraId="4B4CC5A0" w14:textId="77777777" w:rsidR="005B1019" w:rsidRPr="00037A14" w:rsidRDefault="005B1019" w:rsidP="005B1019">
      <w:pPr>
        <w:spacing w:after="60"/>
      </w:pPr>
      <w:r w:rsidRPr="00037A14">
        <w:t>st. hr.</w:t>
      </w:r>
      <w:r w:rsidRPr="00037A14">
        <w:tab/>
      </w:r>
      <w:r w:rsidRPr="00037A14">
        <w:tab/>
        <w:t>státní hranice</w:t>
      </w:r>
    </w:p>
    <w:p w14:paraId="5B466317" w14:textId="77777777" w:rsidR="005B1019" w:rsidRPr="00CE5A32" w:rsidRDefault="005B1019" w:rsidP="00C25D1B">
      <w:pPr>
        <w:spacing w:after="60"/>
        <w:ind w:left="1440" w:hanging="1440"/>
      </w:pPr>
      <w:bookmarkStart w:id="6" w:name="_Hlk31383341"/>
      <w:bookmarkStart w:id="7" w:name="_Hlk31383396"/>
      <w:r w:rsidRPr="00CE5A32">
        <w:t xml:space="preserve">SŽDC, </w:t>
      </w:r>
      <w:proofErr w:type="spellStart"/>
      <w:r w:rsidRPr="00CE5A32">
        <w:t>s.o</w:t>
      </w:r>
      <w:proofErr w:type="spellEnd"/>
      <w:r w:rsidRPr="00CE5A32">
        <w:t>.</w:t>
      </w:r>
      <w:r w:rsidRPr="00CE5A32">
        <w:tab/>
        <w:t>Správa železni</w:t>
      </w:r>
      <w:r w:rsidR="00C25D1B">
        <w:t>c</w:t>
      </w:r>
      <w:r w:rsidRPr="00CE5A32">
        <w:t>, státní organizace</w:t>
      </w:r>
      <w:r w:rsidR="00C25D1B">
        <w:t xml:space="preserve"> (zkratka používaná do 31.12.2019, je použito u starších názvů předpisů, původní název Správa železniční dopravní cesty)</w:t>
      </w:r>
      <w:bookmarkEnd w:id="6"/>
    </w:p>
    <w:bookmarkEnd w:id="7"/>
    <w:p w14:paraId="36544CA3" w14:textId="77777777" w:rsidR="005B1019" w:rsidRPr="00037A14" w:rsidRDefault="005B1019" w:rsidP="005B1019">
      <w:pPr>
        <w:spacing w:after="60"/>
      </w:pPr>
      <w:r w:rsidRPr="00037A14">
        <w:t>TKP</w:t>
      </w:r>
      <w:r w:rsidRPr="00037A14">
        <w:tab/>
      </w:r>
      <w:r w:rsidRPr="00037A14">
        <w:tab/>
        <w:t>technické kvalitativní podmínky</w:t>
      </w:r>
    </w:p>
    <w:p w14:paraId="5B0CD68A" w14:textId="77777777" w:rsidR="005B1019" w:rsidRPr="00CE5A32" w:rsidRDefault="005B1019" w:rsidP="005B1019">
      <w:pPr>
        <w:spacing w:after="60"/>
      </w:pPr>
      <w:r w:rsidRPr="00CE5A32">
        <w:t>TÚ</w:t>
      </w:r>
      <w:r w:rsidRPr="00CE5A32">
        <w:tab/>
      </w:r>
      <w:r w:rsidRPr="00CE5A32">
        <w:tab/>
        <w:t>traťový úsek</w:t>
      </w:r>
    </w:p>
    <w:p w14:paraId="168F575C" w14:textId="77777777" w:rsidR="005B1019" w:rsidRPr="00CE5A32" w:rsidRDefault="005B1019" w:rsidP="005B1019">
      <w:pPr>
        <w:spacing w:after="60"/>
      </w:pPr>
      <w:r w:rsidRPr="00CE5A32">
        <w:t>TV</w:t>
      </w:r>
      <w:r w:rsidRPr="00CE5A32">
        <w:tab/>
      </w:r>
      <w:r w:rsidRPr="00CE5A32">
        <w:tab/>
        <w:t>trakční vedení</w:t>
      </w:r>
    </w:p>
    <w:p w14:paraId="14171521" w14:textId="77777777" w:rsidR="005B1019" w:rsidRPr="00CE5A32" w:rsidRDefault="005B1019" w:rsidP="005B1019">
      <w:pPr>
        <w:spacing w:after="60"/>
      </w:pPr>
      <w:r w:rsidRPr="00CE5A32">
        <w:t>ÚMVŽST</w:t>
      </w:r>
      <w:r w:rsidRPr="00CE5A32">
        <w:tab/>
        <w:t>Úprava majetkových vztahů v železničních stanicích</w:t>
      </w:r>
    </w:p>
    <w:p w14:paraId="54924903" w14:textId="77777777" w:rsidR="005B1019" w:rsidRPr="00037A14" w:rsidRDefault="005B1019" w:rsidP="005B1019">
      <w:pPr>
        <w:spacing w:after="60"/>
      </w:pPr>
      <w:proofErr w:type="spellStart"/>
      <w:r w:rsidRPr="00037A14">
        <w:t>ust</w:t>
      </w:r>
      <w:proofErr w:type="spellEnd"/>
      <w:r w:rsidRPr="00037A14">
        <w:t>.</w:t>
      </w:r>
      <w:r w:rsidRPr="00037A14">
        <w:tab/>
      </w:r>
      <w:r w:rsidRPr="00037A14">
        <w:tab/>
        <w:t>Ustanovení</w:t>
      </w:r>
    </w:p>
    <w:p w14:paraId="0B07D082" w14:textId="77777777" w:rsidR="005B1019" w:rsidRPr="00037A14" w:rsidRDefault="005B1019" w:rsidP="005B1019">
      <w:pPr>
        <w:spacing w:after="60"/>
      </w:pPr>
      <w:r w:rsidRPr="00037A14">
        <w:t>vč.</w:t>
      </w:r>
      <w:r w:rsidRPr="00037A14">
        <w:tab/>
      </w:r>
      <w:r w:rsidRPr="00037A14">
        <w:tab/>
        <w:t>včetně</w:t>
      </w:r>
    </w:p>
    <w:p w14:paraId="45D6CB97" w14:textId="77777777" w:rsidR="005B1019" w:rsidRDefault="005B1019" w:rsidP="005B1019">
      <w:pPr>
        <w:spacing w:after="60"/>
      </w:pPr>
      <w:r>
        <w:t>VN</w:t>
      </w:r>
      <w:r>
        <w:tab/>
      </w:r>
      <w:r>
        <w:tab/>
        <w:t>vysoké napětí</w:t>
      </w:r>
    </w:p>
    <w:p w14:paraId="5C4D3AD1" w14:textId="77777777" w:rsidR="005B1019" w:rsidRDefault="005B1019" w:rsidP="005B1019">
      <w:pPr>
        <w:spacing w:after="60"/>
      </w:pPr>
      <w:proofErr w:type="spellStart"/>
      <w:r w:rsidRPr="00CE5A32">
        <w:t>vyhl</w:t>
      </w:r>
      <w:proofErr w:type="spellEnd"/>
      <w:r w:rsidRPr="00CE5A32">
        <w:t>.</w:t>
      </w:r>
      <w:r w:rsidRPr="00CE5A32">
        <w:tab/>
      </w:r>
      <w:r w:rsidRPr="00CE5A32">
        <w:tab/>
        <w:t>vyhláška</w:t>
      </w:r>
    </w:p>
    <w:p w14:paraId="19D65166" w14:textId="77777777" w:rsidR="005B1019" w:rsidRDefault="005B1019" w:rsidP="005B1019">
      <w:pPr>
        <w:spacing w:after="60"/>
      </w:pPr>
      <w:r>
        <w:t>zák.</w:t>
      </w:r>
      <w:r>
        <w:tab/>
      </w:r>
      <w:r>
        <w:tab/>
        <w:t>zákon</w:t>
      </w:r>
    </w:p>
    <w:p w14:paraId="4DFD77FE" w14:textId="77777777" w:rsidR="005B1019" w:rsidRDefault="005B1019" w:rsidP="005B1019">
      <w:pPr>
        <w:spacing w:after="60"/>
      </w:pPr>
      <w:r>
        <w:t>ZPF</w:t>
      </w:r>
      <w:r>
        <w:tab/>
      </w:r>
      <w:r>
        <w:tab/>
        <w:t>zemědělský půdní fond</w:t>
      </w:r>
    </w:p>
    <w:p w14:paraId="0FF11F1F" w14:textId="77777777" w:rsidR="005B1019" w:rsidRDefault="005B1019" w:rsidP="005B1019">
      <w:pPr>
        <w:jc w:val="both"/>
      </w:pPr>
      <w:proofErr w:type="spellStart"/>
      <w:r>
        <w:t>ž</w:t>
      </w:r>
      <w:r w:rsidRPr="00A97A66">
        <w:t>st</w:t>
      </w:r>
      <w:proofErr w:type="spellEnd"/>
      <w:r>
        <w:t>.</w:t>
      </w:r>
      <w:r w:rsidRPr="00A97A66">
        <w:tab/>
      </w:r>
      <w:r>
        <w:tab/>
      </w:r>
      <w:r w:rsidRPr="00A97A66">
        <w:t>železniční stanice</w:t>
      </w:r>
    </w:p>
    <w:p w14:paraId="3043A58E" w14:textId="77777777" w:rsidR="005B1019" w:rsidRPr="005974BE" w:rsidRDefault="005B1019" w:rsidP="000F291C">
      <w:pPr>
        <w:jc w:val="both"/>
        <w:rPr>
          <w:b/>
          <w:color w:val="FF0000"/>
          <w:sz w:val="24"/>
          <w:u w:val="single"/>
        </w:rPr>
      </w:pPr>
    </w:p>
    <w:p w14:paraId="2E330264" w14:textId="77777777" w:rsidR="00C166FE" w:rsidRPr="005974BE" w:rsidRDefault="00C166FE" w:rsidP="000F291C">
      <w:pPr>
        <w:jc w:val="both"/>
        <w:rPr>
          <w:color w:val="FF0000"/>
          <w:sz w:val="24"/>
        </w:rPr>
      </w:pPr>
    </w:p>
    <w:p w14:paraId="75EF8CF1" w14:textId="77777777" w:rsidR="00C0109C" w:rsidRPr="005974BE" w:rsidRDefault="00C0109C" w:rsidP="005B1019">
      <w:pPr>
        <w:pStyle w:val="Nadpis1"/>
      </w:pPr>
      <w:bookmarkStart w:id="8" w:name="_Toc64356279"/>
      <w:proofErr w:type="gramStart"/>
      <w:r w:rsidRPr="005974BE">
        <w:lastRenderedPageBreak/>
        <w:t>1.0  ÚVOD</w:t>
      </w:r>
      <w:bookmarkEnd w:id="8"/>
      <w:proofErr w:type="gramEnd"/>
      <w:r w:rsidRPr="005974BE">
        <w:t xml:space="preserve"> </w:t>
      </w:r>
    </w:p>
    <w:p w14:paraId="01FEF8DC" w14:textId="77777777" w:rsidR="00203A2E" w:rsidRDefault="003A240A" w:rsidP="006F1626">
      <w:pPr>
        <w:jc w:val="both"/>
        <w:rPr>
          <w:sz w:val="24"/>
          <w:szCs w:val="24"/>
        </w:rPr>
      </w:pPr>
      <w:r w:rsidRPr="006F1626">
        <w:rPr>
          <w:sz w:val="24"/>
        </w:rPr>
        <w:t>Projektová dokumentace „</w:t>
      </w:r>
      <w:r w:rsidR="00E65EC8" w:rsidRPr="00E65EC8">
        <w:rPr>
          <w:sz w:val="24"/>
        </w:rPr>
        <w:t>SO 06-02 Horní Měcholupy, úprava trakčního vedení</w:t>
      </w:r>
      <w:r w:rsidRPr="006F1626">
        <w:rPr>
          <w:sz w:val="24"/>
        </w:rPr>
        <w:t xml:space="preserve">“ </w:t>
      </w:r>
      <w:r w:rsidR="006F1626" w:rsidRPr="006F1626">
        <w:rPr>
          <w:sz w:val="24"/>
        </w:rPr>
        <w:t>řeší úpravu trakčního vedení pro uvolnění staveniště při výstavbě nové návěstní lávky, kde bude umístěno nové zařízení pro měření přítlaku sběračů, monitoring obložení ližin a pro automatické čtení označení vozidel</w:t>
      </w:r>
      <w:r w:rsidR="00310C85">
        <w:rPr>
          <w:sz w:val="24"/>
        </w:rPr>
        <w:t xml:space="preserve">, </w:t>
      </w:r>
      <w:r w:rsidRPr="006F1626">
        <w:rPr>
          <w:sz w:val="24"/>
        </w:rPr>
        <w:t xml:space="preserve">v rámci </w:t>
      </w:r>
      <w:r w:rsidRPr="006F1626">
        <w:rPr>
          <w:sz w:val="24"/>
          <w:szCs w:val="24"/>
        </w:rPr>
        <w:t xml:space="preserve">stavby " </w:t>
      </w:r>
      <w:r w:rsidR="006F1626" w:rsidRPr="006F1626">
        <w:rPr>
          <w:rFonts w:ascii="Arial" w:hAnsi="Arial"/>
          <w:b/>
          <w:szCs w:val="22"/>
        </w:rPr>
        <w:t xml:space="preserve">Zařízení pro monitoring sběračů elektrických hnacích </w:t>
      </w:r>
      <w:proofErr w:type="gramStart"/>
      <w:r w:rsidR="006F1626" w:rsidRPr="006F1626">
        <w:rPr>
          <w:rFonts w:ascii="Arial" w:hAnsi="Arial"/>
          <w:b/>
          <w:szCs w:val="22"/>
        </w:rPr>
        <w:t xml:space="preserve">vozidel </w:t>
      </w:r>
      <w:r w:rsidR="003C6195" w:rsidRPr="006F1626">
        <w:rPr>
          <w:rFonts w:ascii="Arial" w:hAnsi="Arial"/>
          <w:b/>
          <w:szCs w:val="22"/>
        </w:rPr>
        <w:t xml:space="preserve"> </w:t>
      </w:r>
      <w:r w:rsidR="00203A2E" w:rsidRPr="006F1626">
        <w:rPr>
          <w:sz w:val="24"/>
          <w:szCs w:val="24"/>
        </w:rPr>
        <w:t>"</w:t>
      </w:r>
      <w:proofErr w:type="gramEnd"/>
      <w:r w:rsidR="00203A2E" w:rsidRPr="006F1626">
        <w:rPr>
          <w:sz w:val="24"/>
          <w:szCs w:val="24"/>
        </w:rPr>
        <w:t xml:space="preserve">. </w:t>
      </w:r>
    </w:p>
    <w:p w14:paraId="2D9DB46A" w14:textId="77777777" w:rsidR="00310C85" w:rsidRPr="007071CA" w:rsidRDefault="00310C85" w:rsidP="00310C85">
      <w:pPr>
        <w:pStyle w:val="Zhlav"/>
        <w:jc w:val="both"/>
        <w:rPr>
          <w:sz w:val="24"/>
          <w:szCs w:val="24"/>
        </w:rPr>
      </w:pPr>
      <w:r w:rsidRPr="007071CA">
        <w:rPr>
          <w:sz w:val="24"/>
          <w:szCs w:val="24"/>
        </w:rPr>
        <w:t>Obsahem stavebního objektu SO 0</w:t>
      </w:r>
      <w:r w:rsidR="00E65EC8" w:rsidRPr="007071CA">
        <w:rPr>
          <w:sz w:val="24"/>
          <w:szCs w:val="24"/>
        </w:rPr>
        <w:t>6</w:t>
      </w:r>
      <w:r w:rsidRPr="007071CA">
        <w:rPr>
          <w:sz w:val="24"/>
          <w:szCs w:val="24"/>
        </w:rPr>
        <w:t>-02 je úprava zesilovacího vedení.</w:t>
      </w:r>
    </w:p>
    <w:p w14:paraId="161F0B99" w14:textId="77777777" w:rsidR="00310C85" w:rsidRDefault="00310C85" w:rsidP="00310C85">
      <w:pPr>
        <w:pStyle w:val="Zhlav"/>
        <w:jc w:val="both"/>
      </w:pPr>
    </w:p>
    <w:p w14:paraId="400CA2D5" w14:textId="1B26E033" w:rsidR="00203A2E" w:rsidRPr="005974BE" w:rsidRDefault="003A240A" w:rsidP="003A240A">
      <w:pPr>
        <w:jc w:val="both"/>
        <w:rPr>
          <w:sz w:val="24"/>
        </w:rPr>
      </w:pPr>
      <w:r w:rsidRPr="005974BE">
        <w:rPr>
          <w:sz w:val="24"/>
        </w:rPr>
        <w:t xml:space="preserve">Projektová dokumentace je zpracována na </w:t>
      </w:r>
      <w:r w:rsidR="007071CA">
        <w:rPr>
          <w:sz w:val="24"/>
        </w:rPr>
        <w:t>stávající</w:t>
      </w:r>
      <w:r w:rsidR="00532CBF">
        <w:rPr>
          <w:sz w:val="24"/>
        </w:rPr>
        <w:t xml:space="preserve"> </w:t>
      </w:r>
      <w:r w:rsidRPr="005974BE">
        <w:rPr>
          <w:sz w:val="24"/>
        </w:rPr>
        <w:t>stav kolejiště</w:t>
      </w:r>
      <w:r w:rsidR="00203A2E" w:rsidRPr="005974BE">
        <w:rPr>
          <w:sz w:val="24"/>
        </w:rPr>
        <w:t>.</w:t>
      </w:r>
    </w:p>
    <w:p w14:paraId="3FCF8C56" w14:textId="77777777" w:rsidR="003A240A" w:rsidRPr="005974BE" w:rsidRDefault="003A240A" w:rsidP="003A240A">
      <w:pPr>
        <w:jc w:val="both"/>
        <w:rPr>
          <w:sz w:val="24"/>
        </w:rPr>
      </w:pPr>
      <w:bookmarkStart w:id="9" w:name="_Hlk31383101"/>
      <w:r w:rsidRPr="005974BE">
        <w:rPr>
          <w:sz w:val="24"/>
        </w:rPr>
        <w:t>Majitelem trakčního vedení je S</w:t>
      </w:r>
      <w:r w:rsidR="00C25D1B">
        <w:rPr>
          <w:sz w:val="24"/>
        </w:rPr>
        <w:t>práva železnic,</w:t>
      </w:r>
      <w:r w:rsidRPr="005974BE">
        <w:rPr>
          <w:sz w:val="24"/>
        </w:rPr>
        <w:t xml:space="preserve"> s</w:t>
      </w:r>
      <w:r w:rsidR="00C25D1B">
        <w:rPr>
          <w:sz w:val="24"/>
        </w:rPr>
        <w:t xml:space="preserve">tátní </w:t>
      </w:r>
      <w:r w:rsidRPr="005974BE">
        <w:rPr>
          <w:sz w:val="24"/>
        </w:rPr>
        <w:t>o</w:t>
      </w:r>
      <w:r w:rsidR="00C25D1B">
        <w:rPr>
          <w:sz w:val="24"/>
        </w:rPr>
        <w:t>rganizace</w:t>
      </w:r>
      <w:r w:rsidR="0095527C">
        <w:rPr>
          <w:sz w:val="24"/>
        </w:rPr>
        <w:t>.</w:t>
      </w:r>
    </w:p>
    <w:bookmarkEnd w:id="9"/>
    <w:p w14:paraId="1847999C" w14:textId="77777777" w:rsidR="00C0109C" w:rsidRPr="005974BE" w:rsidRDefault="00C0109C" w:rsidP="000F291C">
      <w:pPr>
        <w:jc w:val="both"/>
        <w:rPr>
          <w:sz w:val="24"/>
        </w:rPr>
      </w:pPr>
    </w:p>
    <w:p w14:paraId="0DDCAB66" w14:textId="2FB68D32" w:rsidR="006B1E8C" w:rsidRPr="004920A0" w:rsidRDefault="005B1019" w:rsidP="005B1019">
      <w:pPr>
        <w:pStyle w:val="Nadpis2"/>
      </w:pPr>
      <w:bookmarkStart w:id="10" w:name="_Toc64356280"/>
      <w:r>
        <w:t xml:space="preserve">1.1 </w:t>
      </w:r>
      <w:r w:rsidR="007071CA">
        <w:t>D</w:t>
      </w:r>
      <w:r w:rsidR="007071CA" w:rsidRPr="004920A0">
        <w:t>otčené parcely</w:t>
      </w:r>
      <w:bookmarkEnd w:id="10"/>
    </w:p>
    <w:p w14:paraId="65A82498" w14:textId="77777777" w:rsidR="005D1DCC" w:rsidRPr="004920A0" w:rsidRDefault="005D1DCC" w:rsidP="005D1DCC">
      <w:pPr>
        <w:ind w:left="495"/>
        <w:rPr>
          <w:b/>
          <w:sz w:val="28"/>
        </w:rPr>
      </w:pPr>
    </w:p>
    <w:p w14:paraId="7E90D26D" w14:textId="77777777" w:rsidR="006F1626" w:rsidRPr="00547E6E" w:rsidRDefault="006F1626" w:rsidP="006F1626">
      <w:pPr>
        <w:jc w:val="both"/>
        <w:rPr>
          <w:sz w:val="24"/>
        </w:rPr>
      </w:pPr>
      <w:r w:rsidRPr="00547E6E">
        <w:rPr>
          <w:sz w:val="24"/>
        </w:rPr>
        <w:t>Realizací „</w:t>
      </w:r>
      <w:r w:rsidR="00E65EC8" w:rsidRPr="00E65EC8">
        <w:rPr>
          <w:sz w:val="24"/>
        </w:rPr>
        <w:t>SO 06-02 Horní Měcholupy, úprava trakčního vedení</w:t>
      </w:r>
      <w:r w:rsidRPr="00547E6E">
        <w:rPr>
          <w:sz w:val="24"/>
        </w:rPr>
        <w:t>“ nebudou dotčeny žádné parcely, jedná se o montážní práce na stávajícím zařízení.</w:t>
      </w:r>
    </w:p>
    <w:p w14:paraId="14E59F6E" w14:textId="77777777" w:rsidR="00DA2799" w:rsidRPr="003C6195" w:rsidRDefault="00DA2799" w:rsidP="00DA2799">
      <w:pPr>
        <w:ind w:left="1080"/>
        <w:jc w:val="both"/>
        <w:rPr>
          <w:color w:val="FF0000"/>
          <w:sz w:val="24"/>
        </w:rPr>
      </w:pPr>
    </w:p>
    <w:p w14:paraId="4821EDF1" w14:textId="77777777" w:rsidR="002A3C4F" w:rsidRPr="004920A0" w:rsidRDefault="00ED0317" w:rsidP="002A3C4F">
      <w:pPr>
        <w:spacing w:before="120"/>
        <w:rPr>
          <w:sz w:val="24"/>
          <w:szCs w:val="24"/>
        </w:rPr>
      </w:pPr>
      <w:bookmarkStart w:id="11" w:name="_Toc64356281"/>
      <w:proofErr w:type="gramStart"/>
      <w:r w:rsidRPr="005B1019">
        <w:rPr>
          <w:rStyle w:val="Nadpis1Char"/>
        </w:rPr>
        <w:t>2.0  POUŽITÉ</w:t>
      </w:r>
      <w:proofErr w:type="gramEnd"/>
      <w:r w:rsidRPr="005B1019">
        <w:rPr>
          <w:rStyle w:val="Nadpis1Char"/>
        </w:rPr>
        <w:t xml:space="preserve"> PODKLADY</w:t>
      </w:r>
      <w:bookmarkEnd w:id="11"/>
      <w:r w:rsidRPr="005B1019">
        <w:rPr>
          <w:rStyle w:val="Nadpis1Char"/>
        </w:rPr>
        <w:t xml:space="preserve"> </w:t>
      </w:r>
      <w:r w:rsidRPr="005B1019">
        <w:rPr>
          <w:rStyle w:val="Nadpis1Char"/>
        </w:rPr>
        <w:br/>
      </w:r>
      <w:r w:rsidRPr="004920A0">
        <w:rPr>
          <w:b/>
          <w:sz w:val="28"/>
        </w:rPr>
        <w:br/>
      </w:r>
      <w:r w:rsidR="002A3C4F" w:rsidRPr="004920A0">
        <w:rPr>
          <w:sz w:val="24"/>
          <w:szCs w:val="24"/>
        </w:rPr>
        <w:t xml:space="preserve">Situace zaměřeného stávajícího stavu trati </w:t>
      </w:r>
      <w:r w:rsidR="001F198C" w:rsidRPr="003A63C1">
        <w:rPr>
          <w:sz w:val="24"/>
          <w:szCs w:val="24"/>
        </w:rPr>
        <w:t>včetně stávajících inženýrských sítí</w:t>
      </w:r>
      <w:r w:rsidR="001F198C">
        <w:rPr>
          <w:sz w:val="24"/>
          <w:szCs w:val="24"/>
        </w:rPr>
        <w:t>.</w:t>
      </w:r>
    </w:p>
    <w:p w14:paraId="58B20C1E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>Výsledky zjištění na místě provedené zpracovatelem této části PD.</w:t>
      </w:r>
    </w:p>
    <w:p w14:paraId="4187C55F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 xml:space="preserve">Závěry z jednání, konaného v průběhu zpracování projektové dokumentace. </w:t>
      </w:r>
    </w:p>
    <w:p w14:paraId="10ABABA0" w14:textId="77777777" w:rsidR="004920A0" w:rsidRDefault="004920A0" w:rsidP="003C6195">
      <w:pPr>
        <w:keepNext/>
        <w:numPr>
          <w:ilvl w:val="1"/>
          <w:numId w:val="0"/>
        </w:numPr>
        <w:tabs>
          <w:tab w:val="num" w:pos="4971"/>
        </w:tabs>
        <w:spacing w:before="60" w:after="120"/>
        <w:ind w:left="567" w:hanging="576"/>
        <w:outlineLvl w:val="1"/>
        <w:rPr>
          <w:b/>
          <w:sz w:val="20"/>
          <w:lang w:eastAsia="x-none"/>
        </w:rPr>
      </w:pPr>
      <w:bookmarkStart w:id="12" w:name="_Toc499544123"/>
    </w:p>
    <w:p w14:paraId="24E3D1FF" w14:textId="77777777" w:rsidR="003C6195" w:rsidRPr="00A00447" w:rsidRDefault="005B1019" w:rsidP="005B1019">
      <w:pPr>
        <w:pStyle w:val="Nadpis2"/>
      </w:pPr>
      <w:bookmarkStart w:id="13" w:name="_Toc64356282"/>
      <w:r>
        <w:t xml:space="preserve">2.1 </w:t>
      </w:r>
      <w:r w:rsidR="003C6195" w:rsidRPr="00A00447">
        <w:t>Normy</w:t>
      </w:r>
      <w:bookmarkEnd w:id="12"/>
      <w:r w:rsidR="003C6195" w:rsidRPr="00A00447">
        <w:t xml:space="preserve"> a předpisy pro TV</w:t>
      </w:r>
      <w:bookmarkEnd w:id="13"/>
    </w:p>
    <w:p w14:paraId="52FBF84E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1500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Pevná trakční zařízení – Předpisy pro elektrická trakční zařízení</w:t>
      </w:r>
    </w:p>
    <w:p w14:paraId="2771ABEB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1530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Elektrická trakční vedení železničních drah celostátních, regionálních a vleček</w:t>
      </w:r>
    </w:p>
    <w:p w14:paraId="4EDD1935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TNŽ 34 3109 Bezpečnostní předpisy pro činnost na trakčním vedení a v jeho blízkosti na železničních dráhách celostátních, regionálních a vlečkách</w:t>
      </w:r>
    </w:p>
    <w:p w14:paraId="131CE0FF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34 5145 ed.2 Názvosloví pro elektrická trakční zařízení</w:t>
      </w:r>
    </w:p>
    <w:p w14:paraId="55F048D6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37 5199 Označování a bezpečnostní sdělení na trakčních vedeních celostátních drah a vleček</w:t>
      </w:r>
    </w:p>
    <w:p w14:paraId="7E272E67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73 6223 Ochrany proti nebezpečnému dotyku s živými částmi trakčního vedení a proti účinkům výfukových plynů na objektech nad kolejemi železničních drah</w:t>
      </w:r>
    </w:p>
    <w:p w14:paraId="402C1E8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13 670 Provádění betonových konstrukcí</w:t>
      </w:r>
    </w:p>
    <w:p w14:paraId="779B02B7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3 Obsluha a práce na elektrických zařízeních</w:t>
      </w:r>
    </w:p>
    <w:p w14:paraId="10C42E1B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Obsluha a práce na elektrických </w:t>
      </w:r>
      <w:proofErr w:type="gramStart"/>
      <w:r w:rsidRPr="00A00447">
        <w:rPr>
          <w:sz w:val="20"/>
        </w:rPr>
        <w:t>zařízeních - Část</w:t>
      </w:r>
      <w:proofErr w:type="gramEnd"/>
      <w:r w:rsidRPr="00A00447">
        <w:rPr>
          <w:sz w:val="20"/>
        </w:rPr>
        <w:t xml:space="preserve"> 2: Národní dodatky</w:t>
      </w:r>
    </w:p>
    <w:p w14:paraId="51296C98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50119 ed.2 Drážní zařízení – Pevná trakční zařízení – Trolejová vedení pro elektrickou trakci</w:t>
      </w:r>
    </w:p>
    <w:p w14:paraId="3D37D232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50122-1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Pevná</w:t>
      </w:r>
      <w:proofErr w:type="gramEnd"/>
      <w:r w:rsidRPr="00A00447">
        <w:rPr>
          <w:sz w:val="20"/>
        </w:rPr>
        <w:t xml:space="preserve"> trakční zařízení - Elektrická bezpečnost, uzemňování a zpětný obvod - Část 1: Ochranná opatření proti úrazu elektrickým proudem</w:t>
      </w:r>
    </w:p>
    <w:p w14:paraId="21878CE0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50 122-2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Pevná</w:t>
      </w:r>
      <w:proofErr w:type="gramEnd"/>
      <w:r w:rsidRPr="00A00447">
        <w:rPr>
          <w:sz w:val="20"/>
        </w:rPr>
        <w:t xml:space="preserve"> trakční zařízení - Elektrická bezpečnost, uzemnění a zpětný obvod - Část 2: Ochranná opatření proti účinkům bludných proudů DC trakčních soustav</w:t>
      </w:r>
    </w:p>
    <w:p w14:paraId="6834368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50 124-2 Drážní zařízení – Koordinace izolace – Část 2: Přepětí a ochrana před </w:t>
      </w:r>
      <w:r w:rsidRPr="00A00447">
        <w:rPr>
          <w:sz w:val="20"/>
        </w:rPr>
        <w:br/>
        <w:t xml:space="preserve"> přepětím</w:t>
      </w:r>
    </w:p>
    <w:p w14:paraId="361BD77E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50 125-2 Drážní </w:t>
      </w:r>
      <w:proofErr w:type="gramStart"/>
      <w:r w:rsidRPr="00A00447">
        <w:rPr>
          <w:sz w:val="20"/>
        </w:rPr>
        <w:t>zařízení - Podmínky</w:t>
      </w:r>
      <w:proofErr w:type="gramEnd"/>
      <w:r w:rsidRPr="00A00447">
        <w:rPr>
          <w:sz w:val="20"/>
        </w:rPr>
        <w:t xml:space="preserve"> prostředí pro zařízení - Část 2: Pevná elektrická zařízení</w:t>
      </w:r>
    </w:p>
    <w:p w14:paraId="6526D470" w14:textId="77777777" w:rsidR="00765F10" w:rsidRPr="00765F10" w:rsidRDefault="00765F10" w:rsidP="00765F10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EA2FF4">
        <w:rPr>
          <w:sz w:val="20"/>
        </w:rPr>
        <w:lastRenderedPageBreak/>
        <w:t>ČSN EN 50</w:t>
      </w:r>
      <w:r>
        <w:rPr>
          <w:sz w:val="20"/>
        </w:rPr>
        <w:t xml:space="preserve"> </w:t>
      </w:r>
      <w:r w:rsidRPr="00EA2FF4">
        <w:rPr>
          <w:sz w:val="20"/>
        </w:rPr>
        <w:t xml:space="preserve">149 </w:t>
      </w:r>
      <w:proofErr w:type="spellStart"/>
      <w:r w:rsidRPr="00EA2FF4">
        <w:rPr>
          <w:sz w:val="20"/>
        </w:rPr>
        <w:t>ed</w:t>
      </w:r>
      <w:proofErr w:type="spellEnd"/>
      <w:r w:rsidRPr="00EA2FF4">
        <w:rPr>
          <w:sz w:val="20"/>
        </w:rPr>
        <w:t>. 2</w:t>
      </w:r>
      <w:r>
        <w:rPr>
          <w:sz w:val="20"/>
        </w:rPr>
        <w:t xml:space="preserve"> </w:t>
      </w:r>
      <w:r w:rsidRPr="00EA2FF4">
        <w:rPr>
          <w:sz w:val="20"/>
        </w:rPr>
        <w:t xml:space="preserve">Drážní </w:t>
      </w:r>
      <w:proofErr w:type="gramStart"/>
      <w:r w:rsidRPr="00EA2FF4">
        <w:rPr>
          <w:sz w:val="20"/>
        </w:rPr>
        <w:t>zařízení - Pevná</w:t>
      </w:r>
      <w:proofErr w:type="gramEnd"/>
      <w:r w:rsidRPr="00EA2FF4">
        <w:rPr>
          <w:sz w:val="20"/>
        </w:rPr>
        <w:t xml:space="preserve"> drážní zařízení - Elektrická trakce - Profilový trolejový vodič z mědi a slitin mědi</w:t>
      </w:r>
    </w:p>
    <w:p w14:paraId="1DB0BA76" w14:textId="77777777" w:rsidR="005B1019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A5604">
        <w:rPr>
          <w:sz w:val="20"/>
        </w:rPr>
        <w:t>ČSN EN 50</w:t>
      </w:r>
      <w:r>
        <w:rPr>
          <w:sz w:val="20"/>
        </w:rPr>
        <w:t xml:space="preserve"> 162 </w:t>
      </w:r>
      <w:r w:rsidRPr="00AA5604">
        <w:rPr>
          <w:sz w:val="20"/>
        </w:rPr>
        <w:t>Ochrana před korozí bludnými proudy ze stejnosměrných proudových soustav</w:t>
      </w:r>
    </w:p>
    <w:p w14:paraId="1FEDF851" w14:textId="77777777" w:rsidR="003C6195" w:rsidRPr="004920A0" w:rsidRDefault="003C6195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920A0">
        <w:rPr>
          <w:sz w:val="20"/>
        </w:rPr>
        <w:t xml:space="preserve">ČSN EN 50 163 </w:t>
      </w:r>
      <w:proofErr w:type="spellStart"/>
      <w:r w:rsidRPr="004920A0">
        <w:rPr>
          <w:sz w:val="20"/>
        </w:rPr>
        <w:t>ed</w:t>
      </w:r>
      <w:proofErr w:type="spellEnd"/>
      <w:r w:rsidRPr="004920A0">
        <w:rPr>
          <w:sz w:val="20"/>
        </w:rPr>
        <w:t>. 2 Drážní zařízení – Napájecí napětí trakčních soustav</w:t>
      </w:r>
    </w:p>
    <w:p w14:paraId="075BFECA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50 317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Systémy</w:t>
      </w:r>
      <w:proofErr w:type="gramEnd"/>
      <w:r w:rsidRPr="00A00447">
        <w:rPr>
          <w:sz w:val="20"/>
        </w:rPr>
        <w:t xml:space="preserve"> odběru proudu - Požadavky na měření dynamické interakce mezi pantografovým sběračem a nadzemním trolejovým vedením a ověřování těchto měření</w:t>
      </w:r>
    </w:p>
    <w:p w14:paraId="6F4A4A2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50367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Systémy</w:t>
      </w:r>
      <w:proofErr w:type="gramEnd"/>
      <w:r w:rsidRPr="00A00447">
        <w:rPr>
          <w:sz w:val="20"/>
        </w:rPr>
        <w:t xml:space="preserve"> sběračů proudu - Technická </w:t>
      </w:r>
      <w:proofErr w:type="spellStart"/>
      <w:r w:rsidRPr="00A00447">
        <w:rPr>
          <w:sz w:val="20"/>
        </w:rPr>
        <w:t>kriteria</w:t>
      </w:r>
      <w:proofErr w:type="spellEnd"/>
      <w:r w:rsidRPr="00A00447">
        <w:rPr>
          <w:sz w:val="20"/>
        </w:rPr>
        <w:t xml:space="preserve"> pro interakci mezi pantografem a nadzemním trolejovým vedením (pro dosažení volného přístupu)</w:t>
      </w:r>
    </w:p>
    <w:p w14:paraId="100C5C12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50388 ed.2 Drážní </w:t>
      </w:r>
      <w:proofErr w:type="gramStart"/>
      <w:r w:rsidRPr="00A00447">
        <w:rPr>
          <w:sz w:val="20"/>
        </w:rPr>
        <w:t>zařízení - Napájení</w:t>
      </w:r>
      <w:proofErr w:type="gramEnd"/>
      <w:r w:rsidRPr="00A00447">
        <w:rPr>
          <w:sz w:val="20"/>
        </w:rPr>
        <w:t xml:space="preserve"> a drážní vozidla - Technická kritéria pro koordinaci mezi napájením (napájecí stanicí) a drážními vozidly pro dosažení interoperability</w:t>
      </w:r>
    </w:p>
    <w:p w14:paraId="4534C92C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D1 Dopravní a návěstní předpis</w:t>
      </w:r>
    </w:p>
    <w:p w14:paraId="15168463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D7/2 Organizování výlukových činností</w:t>
      </w:r>
    </w:p>
    <w:p w14:paraId="1BE196EB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D17 Předpis pro hlášení a šetření mimořádných událostí</w:t>
      </w:r>
    </w:p>
    <w:p w14:paraId="38677DC1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Bp</w:t>
      </w:r>
      <w:proofErr w:type="gramStart"/>
      <w:r w:rsidRPr="00422696">
        <w:rPr>
          <w:sz w:val="20"/>
        </w:rPr>
        <w:t>1  Předpis</w:t>
      </w:r>
      <w:proofErr w:type="gramEnd"/>
      <w:r w:rsidRPr="00422696">
        <w:rPr>
          <w:sz w:val="20"/>
        </w:rPr>
        <w:t xml:space="preserve"> o bezpečnosti a ochraně zdraví při práci</w:t>
      </w:r>
    </w:p>
    <w:p w14:paraId="75501A6B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Zam1 Předpis o odborné způsobilosti a znalosti osob při provozování dráhy a drážní dopravy </w:t>
      </w:r>
    </w:p>
    <w:p w14:paraId="1D127BC0" w14:textId="77777777" w:rsidR="005B1019" w:rsidRPr="00422696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DB794F">
        <w:rPr>
          <w:sz w:val="20"/>
        </w:rPr>
        <w:t>SŽDC Ob1 díl II Vydávání povolení ke vstupu do míst veřejnosti nepřístupných. Průkaz pro cizí subjekt</w:t>
      </w:r>
    </w:p>
    <w:p w14:paraId="69223868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Ob14 Předpis pro stanovení organizace zabezpečení požární ochrany Správy železniční </w:t>
      </w:r>
      <w:r w:rsidRPr="00422696">
        <w:rPr>
          <w:sz w:val="20"/>
        </w:rPr>
        <w:br/>
        <w:t xml:space="preserve"> dopravní cesty, státní organizace</w:t>
      </w:r>
    </w:p>
    <w:p w14:paraId="60DAEECE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SŽDC T7 Rádiový provoz </w:t>
      </w:r>
    </w:p>
    <w:p w14:paraId="4A084CC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SR 70 Služební rukověť Číselník železničních stanic, dopravně zajímavých a tarifních míst</w:t>
      </w:r>
    </w:p>
    <w:p w14:paraId="3B770088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E10 Předpis pro provoz, obsluhu a údržbu TV</w:t>
      </w:r>
    </w:p>
    <w:p w14:paraId="5F5C33C0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E15 Předpis pro měření parametrů TV měřicím vozem</w:t>
      </w:r>
    </w:p>
    <w:p w14:paraId="6F3A3E7D" w14:textId="71531AC3" w:rsidR="003C6195" w:rsidRDefault="003C6195" w:rsidP="003C6195"/>
    <w:p w14:paraId="1C36A8B9" w14:textId="77F37AAD" w:rsidR="007071CA" w:rsidRDefault="007071CA" w:rsidP="003C6195"/>
    <w:p w14:paraId="52B624E6" w14:textId="77777777" w:rsidR="007071CA" w:rsidRDefault="007071CA" w:rsidP="003C6195"/>
    <w:p w14:paraId="287C3746" w14:textId="77777777" w:rsidR="00895377" w:rsidRPr="00F0326C" w:rsidRDefault="00C0109C" w:rsidP="005B1019">
      <w:pPr>
        <w:pStyle w:val="Nadpis2"/>
      </w:pPr>
      <w:bookmarkStart w:id="14" w:name="_Toc64356283"/>
      <w:proofErr w:type="gramStart"/>
      <w:r w:rsidRPr="00F0326C">
        <w:t>2.</w:t>
      </w:r>
      <w:r w:rsidR="004E0E10" w:rsidRPr="00F0326C">
        <w:t>2</w:t>
      </w:r>
      <w:r w:rsidRPr="00F0326C">
        <w:t xml:space="preserve">  Stávající</w:t>
      </w:r>
      <w:proofErr w:type="gramEnd"/>
      <w:r w:rsidRPr="00F0326C">
        <w:t xml:space="preserve"> TV</w:t>
      </w:r>
      <w:bookmarkEnd w:id="14"/>
    </w:p>
    <w:p w14:paraId="406147A1" w14:textId="77777777" w:rsidR="00E65EC8" w:rsidRPr="00E65EC8" w:rsidRDefault="00E65EC8" w:rsidP="00E65EC8">
      <w:pPr>
        <w:jc w:val="both"/>
        <w:rPr>
          <w:sz w:val="24"/>
          <w:szCs w:val="24"/>
        </w:rPr>
      </w:pPr>
      <w:r w:rsidRPr="00E65EC8">
        <w:rPr>
          <w:sz w:val="24"/>
          <w:szCs w:val="24"/>
        </w:rPr>
        <w:t>Traťový úsek je elektrizován stejnosměrnou proudovou soustavou označenou 2 DC 3kV/IT.</w:t>
      </w:r>
    </w:p>
    <w:p w14:paraId="6F05C51A" w14:textId="77777777" w:rsidR="00E65EC8" w:rsidRPr="00E65EC8" w:rsidRDefault="00E65EC8" w:rsidP="00E65EC8">
      <w:pPr>
        <w:jc w:val="both"/>
        <w:rPr>
          <w:sz w:val="24"/>
          <w:szCs w:val="24"/>
        </w:rPr>
      </w:pPr>
      <w:r w:rsidRPr="00E65EC8">
        <w:rPr>
          <w:sz w:val="24"/>
          <w:szCs w:val="24"/>
        </w:rPr>
        <w:t xml:space="preserve">Systém TV je v obou kolejích řetězovkový hlavní, plně kompenzovaný, napínaný stálým tahem 15 </w:t>
      </w:r>
      <w:proofErr w:type="spellStart"/>
      <w:r w:rsidRPr="00E65EC8">
        <w:rPr>
          <w:sz w:val="24"/>
          <w:szCs w:val="24"/>
        </w:rPr>
        <w:t>kN</w:t>
      </w:r>
      <w:proofErr w:type="spellEnd"/>
      <w:r w:rsidRPr="00E65EC8">
        <w:rPr>
          <w:sz w:val="24"/>
          <w:szCs w:val="24"/>
        </w:rPr>
        <w:t xml:space="preserve"> v troleji i nosném laně. Průřez trolej je 150mm2 </w:t>
      </w:r>
      <w:proofErr w:type="spellStart"/>
      <w:r w:rsidRPr="00E65EC8">
        <w:rPr>
          <w:sz w:val="24"/>
          <w:szCs w:val="24"/>
        </w:rPr>
        <w:t>Cu</w:t>
      </w:r>
      <w:proofErr w:type="spellEnd"/>
      <w:r w:rsidRPr="00E65EC8">
        <w:rPr>
          <w:sz w:val="24"/>
          <w:szCs w:val="24"/>
        </w:rPr>
        <w:t xml:space="preserve">, průřez nosného lana je 120 mm2 </w:t>
      </w:r>
      <w:proofErr w:type="spellStart"/>
      <w:r w:rsidRPr="00E65EC8">
        <w:rPr>
          <w:sz w:val="24"/>
          <w:szCs w:val="24"/>
        </w:rPr>
        <w:t>Cu</w:t>
      </w:r>
      <w:proofErr w:type="spellEnd"/>
      <w:r w:rsidRPr="00E65EC8">
        <w:rPr>
          <w:sz w:val="24"/>
          <w:szCs w:val="24"/>
        </w:rPr>
        <w:t>.</w:t>
      </w:r>
    </w:p>
    <w:p w14:paraId="4B675993" w14:textId="77777777" w:rsidR="00E65EC8" w:rsidRPr="00E65EC8" w:rsidRDefault="00E65EC8" w:rsidP="00E65EC8">
      <w:pPr>
        <w:jc w:val="both"/>
        <w:rPr>
          <w:sz w:val="24"/>
          <w:szCs w:val="24"/>
        </w:rPr>
      </w:pPr>
      <w:r w:rsidRPr="00E65EC8">
        <w:rPr>
          <w:sz w:val="24"/>
          <w:szCs w:val="24"/>
        </w:rPr>
        <w:t>Výška sestavy je 1500 mm pro sjízdný závěs. Vzhledem k traťové rychlosti do 160 km/h jsou závěsy hlavní sestavy v koleji č.1 a č.2 s přídavným lanem.</w:t>
      </w:r>
    </w:p>
    <w:p w14:paraId="56E4423B" w14:textId="77777777" w:rsidR="00E65EC8" w:rsidRDefault="00E65EC8" w:rsidP="00E65EC8">
      <w:pPr>
        <w:jc w:val="both"/>
        <w:rPr>
          <w:sz w:val="24"/>
          <w:szCs w:val="24"/>
        </w:rPr>
      </w:pPr>
      <w:r w:rsidRPr="00E65EC8">
        <w:rPr>
          <w:sz w:val="24"/>
          <w:szCs w:val="24"/>
        </w:rPr>
        <w:t xml:space="preserve">Vodiče TV jsou doplněny zesilovacím vedením 2x120 mm2 </w:t>
      </w:r>
      <w:proofErr w:type="spellStart"/>
      <w:r w:rsidRPr="00E65EC8">
        <w:rPr>
          <w:sz w:val="24"/>
          <w:szCs w:val="24"/>
        </w:rPr>
        <w:t>Cu</w:t>
      </w:r>
      <w:proofErr w:type="spellEnd"/>
      <w:r w:rsidRPr="00E65EC8">
        <w:rPr>
          <w:sz w:val="24"/>
          <w:szCs w:val="24"/>
        </w:rPr>
        <w:t xml:space="preserve"> v každé koleji.</w:t>
      </w:r>
    </w:p>
    <w:p w14:paraId="0DCDA582" w14:textId="77777777" w:rsidR="00E65EC8" w:rsidRPr="00E65EC8" w:rsidRDefault="00E65EC8" w:rsidP="00E65EC8">
      <w:pPr>
        <w:jc w:val="both"/>
        <w:rPr>
          <w:sz w:val="24"/>
          <w:szCs w:val="24"/>
        </w:rPr>
      </w:pPr>
    </w:p>
    <w:p w14:paraId="25531810" w14:textId="77777777" w:rsidR="00310C85" w:rsidRPr="00310C85" w:rsidRDefault="00310C85" w:rsidP="00310C85">
      <w:pPr>
        <w:jc w:val="both"/>
        <w:rPr>
          <w:sz w:val="24"/>
          <w:szCs w:val="24"/>
        </w:rPr>
      </w:pPr>
      <w:r w:rsidRPr="00310C85">
        <w:rPr>
          <w:sz w:val="24"/>
          <w:szCs w:val="24"/>
        </w:rPr>
        <w:t>Ukolejnění je individuální.</w:t>
      </w:r>
    </w:p>
    <w:p w14:paraId="7FCEDB40" w14:textId="4FF0ADAA" w:rsidR="00753996" w:rsidRDefault="00310C85" w:rsidP="00310C85">
      <w:pPr>
        <w:jc w:val="both"/>
        <w:rPr>
          <w:sz w:val="24"/>
          <w:szCs w:val="24"/>
        </w:rPr>
      </w:pPr>
      <w:r w:rsidRPr="00310C85">
        <w:rPr>
          <w:sz w:val="24"/>
          <w:szCs w:val="24"/>
        </w:rPr>
        <w:t xml:space="preserve">Trakční vedení a jeho části jsou v majetku Správy železnic, státní organizace (dále SŽ </w:t>
      </w:r>
      <w:proofErr w:type="spellStart"/>
      <w:r w:rsidRPr="00310C85">
        <w:rPr>
          <w:sz w:val="24"/>
          <w:szCs w:val="24"/>
        </w:rPr>
        <w:t>s.o</w:t>
      </w:r>
      <w:proofErr w:type="spellEnd"/>
      <w:r w:rsidRPr="00310C85">
        <w:rPr>
          <w:sz w:val="24"/>
          <w:szCs w:val="24"/>
        </w:rPr>
        <w:t xml:space="preserve">.). </w:t>
      </w:r>
    </w:p>
    <w:p w14:paraId="5F433669" w14:textId="1BBB89E3" w:rsidR="007071CA" w:rsidRDefault="007071CA" w:rsidP="00310C85">
      <w:pPr>
        <w:jc w:val="both"/>
        <w:rPr>
          <w:sz w:val="24"/>
          <w:szCs w:val="24"/>
        </w:rPr>
      </w:pPr>
    </w:p>
    <w:p w14:paraId="04A5802B" w14:textId="5C3295A9" w:rsidR="007071CA" w:rsidRDefault="007071CA" w:rsidP="00310C85">
      <w:pPr>
        <w:jc w:val="both"/>
        <w:rPr>
          <w:sz w:val="24"/>
          <w:szCs w:val="24"/>
        </w:rPr>
      </w:pPr>
    </w:p>
    <w:p w14:paraId="1BA45C66" w14:textId="784CD917" w:rsidR="007071CA" w:rsidRDefault="007071CA" w:rsidP="00310C85">
      <w:pPr>
        <w:jc w:val="both"/>
        <w:rPr>
          <w:sz w:val="24"/>
          <w:szCs w:val="24"/>
        </w:rPr>
      </w:pPr>
    </w:p>
    <w:p w14:paraId="3731526C" w14:textId="7A33D7DE" w:rsidR="007071CA" w:rsidRDefault="007071CA" w:rsidP="00310C85">
      <w:pPr>
        <w:jc w:val="both"/>
        <w:rPr>
          <w:sz w:val="24"/>
          <w:szCs w:val="24"/>
        </w:rPr>
      </w:pPr>
    </w:p>
    <w:p w14:paraId="31ED494C" w14:textId="7732F1C1" w:rsidR="007071CA" w:rsidRDefault="007071CA" w:rsidP="00310C85">
      <w:pPr>
        <w:jc w:val="both"/>
        <w:rPr>
          <w:sz w:val="24"/>
          <w:szCs w:val="24"/>
        </w:rPr>
      </w:pPr>
    </w:p>
    <w:p w14:paraId="78716BC0" w14:textId="77777777" w:rsidR="007071CA" w:rsidRDefault="007071CA" w:rsidP="00310C85">
      <w:pPr>
        <w:jc w:val="both"/>
        <w:rPr>
          <w:sz w:val="24"/>
          <w:szCs w:val="24"/>
        </w:rPr>
      </w:pPr>
    </w:p>
    <w:p w14:paraId="58ABBFFA" w14:textId="77777777" w:rsidR="007071CA" w:rsidRDefault="007071CA" w:rsidP="005B1019">
      <w:pPr>
        <w:pStyle w:val="Nadpis1"/>
      </w:pPr>
    </w:p>
    <w:p w14:paraId="3DBE245B" w14:textId="78EDDFB3" w:rsidR="00C0109C" w:rsidRPr="00F0326C" w:rsidRDefault="00C0109C" w:rsidP="005B1019">
      <w:pPr>
        <w:pStyle w:val="Nadpis1"/>
      </w:pPr>
      <w:bookmarkStart w:id="15" w:name="_Toc64356284"/>
      <w:proofErr w:type="gramStart"/>
      <w:r w:rsidRPr="00F0326C">
        <w:t>3.0  ŘEŠENÍ</w:t>
      </w:r>
      <w:proofErr w:type="gramEnd"/>
      <w:r w:rsidRPr="00F0326C">
        <w:t xml:space="preserve"> TRAKČNÍHO VEDENÍ</w:t>
      </w:r>
      <w:bookmarkEnd w:id="15"/>
      <w:r w:rsidRPr="00F0326C">
        <w:t xml:space="preserve"> </w:t>
      </w:r>
    </w:p>
    <w:p w14:paraId="42858582" w14:textId="77777777" w:rsidR="00B45E78" w:rsidRDefault="00B45E78" w:rsidP="00B45E78">
      <w:pPr>
        <w:jc w:val="both"/>
        <w:rPr>
          <w:sz w:val="24"/>
        </w:rPr>
      </w:pPr>
    </w:p>
    <w:p w14:paraId="175FACE3" w14:textId="77777777" w:rsidR="00E65EC8" w:rsidRPr="00E65EC8" w:rsidRDefault="00E65EC8" w:rsidP="00E65EC8">
      <w:pPr>
        <w:jc w:val="both"/>
        <w:rPr>
          <w:sz w:val="24"/>
        </w:rPr>
      </w:pPr>
      <w:r w:rsidRPr="00E65EC8">
        <w:rPr>
          <w:sz w:val="24"/>
        </w:rPr>
        <w:t>V prostoru situování nové návěstní lávky je trolejové vedení zavěšeno na individuálních stožárech podle jednotlivých funkčních souborů typové sestavy. Zesilovací vedení je zavěšeno na konzolách „X“ směrem ke koleji.</w:t>
      </w:r>
    </w:p>
    <w:p w14:paraId="4C784014" w14:textId="77777777" w:rsidR="00E65EC8" w:rsidRPr="00E65EC8" w:rsidRDefault="00E65EC8" w:rsidP="00E65EC8">
      <w:pPr>
        <w:jc w:val="both"/>
        <w:rPr>
          <w:sz w:val="24"/>
        </w:rPr>
      </w:pPr>
    </w:p>
    <w:p w14:paraId="3C3F2146" w14:textId="77777777" w:rsidR="00E65EC8" w:rsidRPr="00E65EC8" w:rsidRDefault="00E65EC8" w:rsidP="00E65EC8">
      <w:pPr>
        <w:jc w:val="both"/>
        <w:rPr>
          <w:sz w:val="24"/>
        </w:rPr>
      </w:pPr>
      <w:r w:rsidRPr="00E65EC8">
        <w:rPr>
          <w:sz w:val="24"/>
        </w:rPr>
        <w:t>Uvolnění prostoru je navrženo:</w:t>
      </w:r>
    </w:p>
    <w:p w14:paraId="5CEC4462" w14:textId="77777777" w:rsidR="00E65EC8" w:rsidRDefault="00E65EC8" w:rsidP="00E65EC8">
      <w:pPr>
        <w:jc w:val="both"/>
        <w:rPr>
          <w:sz w:val="24"/>
        </w:rPr>
      </w:pPr>
      <w:r w:rsidRPr="00E65EC8">
        <w:rPr>
          <w:sz w:val="24"/>
        </w:rPr>
        <w:t xml:space="preserve">Zesilovací vedení bude na </w:t>
      </w:r>
      <w:proofErr w:type="spellStart"/>
      <w:r w:rsidRPr="00E65EC8">
        <w:rPr>
          <w:sz w:val="24"/>
        </w:rPr>
        <w:t>st.č</w:t>
      </w:r>
      <w:proofErr w:type="spellEnd"/>
      <w:r w:rsidRPr="00E65EC8">
        <w:rPr>
          <w:sz w:val="24"/>
        </w:rPr>
        <w:t xml:space="preserve">. 19, 20, 21 a </w:t>
      </w:r>
      <w:proofErr w:type="gramStart"/>
      <w:r w:rsidRPr="00E65EC8">
        <w:rPr>
          <w:sz w:val="24"/>
        </w:rPr>
        <w:t>22  převěšeno</w:t>
      </w:r>
      <w:proofErr w:type="gramEnd"/>
      <w:r w:rsidRPr="00E65EC8">
        <w:rPr>
          <w:sz w:val="24"/>
        </w:rPr>
        <w:t xml:space="preserve"> na nové konzoly typu „Z“ a jeho výška bude snížena, tak aby bezpečně prošlo pod lávkou. Na lávce bude uchyceno do nových závěsů typu „V“.</w:t>
      </w:r>
    </w:p>
    <w:p w14:paraId="6F084827" w14:textId="77777777" w:rsidR="00E65EC8" w:rsidRPr="00E65EC8" w:rsidRDefault="00E65EC8" w:rsidP="00E65EC8">
      <w:pPr>
        <w:jc w:val="both"/>
        <w:rPr>
          <w:sz w:val="24"/>
        </w:rPr>
      </w:pPr>
    </w:p>
    <w:p w14:paraId="2BC4F73B" w14:textId="77777777" w:rsidR="00E65EC8" w:rsidRDefault="00E65EC8" w:rsidP="00E65EC8">
      <w:pPr>
        <w:jc w:val="both"/>
        <w:rPr>
          <w:sz w:val="24"/>
        </w:rPr>
      </w:pPr>
      <w:r w:rsidRPr="00E65EC8">
        <w:rPr>
          <w:sz w:val="24"/>
        </w:rPr>
        <w:t>Celkem 4ks závěsů na stožár montáž a demontáž + 2ks V závěs pod bránu na konstrukci lávky. Úprava svodů ZV 2 ks</w:t>
      </w:r>
    </w:p>
    <w:p w14:paraId="3E4D5E09" w14:textId="77777777" w:rsidR="00B45E78" w:rsidRPr="00B45E78" w:rsidRDefault="00B45E78" w:rsidP="00E65EC8">
      <w:pPr>
        <w:jc w:val="both"/>
        <w:rPr>
          <w:sz w:val="24"/>
          <w:szCs w:val="24"/>
        </w:rPr>
      </w:pPr>
      <w:r>
        <w:rPr>
          <w:sz w:val="24"/>
        </w:rPr>
        <w:t xml:space="preserve"> </w:t>
      </w:r>
    </w:p>
    <w:p w14:paraId="391D63AD" w14:textId="77777777" w:rsidR="002D6583" w:rsidRPr="00F0326C" w:rsidRDefault="002D6583" w:rsidP="002D6583">
      <w:pPr>
        <w:jc w:val="both"/>
        <w:rPr>
          <w:sz w:val="24"/>
          <w:szCs w:val="24"/>
        </w:rPr>
      </w:pPr>
      <w:r w:rsidRPr="00F0326C">
        <w:rPr>
          <w:sz w:val="24"/>
          <w:szCs w:val="24"/>
        </w:rPr>
        <w:t xml:space="preserve">Celkový rozsah je zřejmý z polohového plánu (příloha </w:t>
      </w:r>
      <w:r w:rsidRPr="007071CA">
        <w:rPr>
          <w:sz w:val="24"/>
          <w:szCs w:val="24"/>
        </w:rPr>
        <w:t xml:space="preserve">č. </w:t>
      </w:r>
      <w:r w:rsidR="00137172" w:rsidRPr="007071CA">
        <w:rPr>
          <w:sz w:val="24"/>
          <w:szCs w:val="24"/>
        </w:rPr>
        <w:t>3</w:t>
      </w:r>
      <w:r w:rsidRPr="00F0326C">
        <w:rPr>
          <w:sz w:val="24"/>
          <w:szCs w:val="24"/>
        </w:rPr>
        <w:t>).</w:t>
      </w:r>
    </w:p>
    <w:p w14:paraId="3785A69C" w14:textId="77777777" w:rsidR="002A2562" w:rsidRDefault="002A2562" w:rsidP="002D6583">
      <w:pPr>
        <w:jc w:val="both"/>
        <w:rPr>
          <w:szCs w:val="22"/>
        </w:rPr>
      </w:pPr>
    </w:p>
    <w:p w14:paraId="1D558272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Veškeré práce a zásahy do TV musí splňovat požadavky základních </w:t>
      </w:r>
      <w:proofErr w:type="gramStart"/>
      <w:r w:rsidRPr="00FF0045">
        <w:rPr>
          <w:sz w:val="24"/>
          <w:szCs w:val="24"/>
        </w:rPr>
        <w:t>norem:  EN</w:t>
      </w:r>
      <w:proofErr w:type="gramEnd"/>
      <w:r w:rsidRPr="00FF0045">
        <w:rPr>
          <w:sz w:val="24"/>
          <w:szCs w:val="24"/>
        </w:rPr>
        <w:t xml:space="preserve"> ČSN 50119 ed.2, ČSN 34 1500 ed.2, ČSN 34 1530 ed.2, ČSN EN 50122-1 ed2, ČSN EN 50122-2 ed2 a dalších souvisejících bezpečnostních předpisů a nařízení. </w:t>
      </w:r>
    </w:p>
    <w:p w14:paraId="747A05BC" w14:textId="77777777" w:rsidR="0006708B" w:rsidRPr="00FF0045" w:rsidRDefault="0006708B" w:rsidP="0006708B">
      <w:pPr>
        <w:jc w:val="both"/>
        <w:rPr>
          <w:sz w:val="24"/>
          <w:szCs w:val="24"/>
        </w:rPr>
      </w:pPr>
    </w:p>
    <w:p w14:paraId="083AF197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Montážní a stavební provedení musí odpovídat technickým kvalitativním podmínkám staveb státních drah </w:t>
      </w:r>
      <w:proofErr w:type="gramStart"/>
      <w:r w:rsidRPr="00FF0045">
        <w:rPr>
          <w:sz w:val="24"/>
          <w:szCs w:val="24"/>
        </w:rPr>
        <w:t>( TKP</w:t>
      </w:r>
      <w:proofErr w:type="gramEnd"/>
      <w:r w:rsidRPr="00FF0045">
        <w:rPr>
          <w:sz w:val="24"/>
          <w:szCs w:val="24"/>
        </w:rPr>
        <w:t xml:space="preserve"> ), kapitola 31 Trakční vedení a platných TSI subsystém „Energie</w:t>
      </w:r>
    </w:p>
    <w:p w14:paraId="5852DDBC" w14:textId="77777777" w:rsidR="0006708B" w:rsidRPr="00FF0045" w:rsidRDefault="0006708B" w:rsidP="0006708B">
      <w:pPr>
        <w:jc w:val="both"/>
        <w:rPr>
          <w:sz w:val="24"/>
          <w:szCs w:val="24"/>
        </w:rPr>
      </w:pPr>
    </w:p>
    <w:p w14:paraId="7E1151C1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Předpokládané </w:t>
      </w:r>
      <w:r>
        <w:rPr>
          <w:sz w:val="24"/>
          <w:szCs w:val="24"/>
        </w:rPr>
        <w:t xml:space="preserve">napěťové a kolejové </w:t>
      </w:r>
      <w:r w:rsidRPr="00FF0045">
        <w:rPr>
          <w:sz w:val="24"/>
          <w:szCs w:val="24"/>
        </w:rPr>
        <w:t>výluky pro vlastní úpravu TV</w:t>
      </w:r>
      <w:r>
        <w:rPr>
          <w:sz w:val="24"/>
          <w:szCs w:val="24"/>
        </w:rPr>
        <w:t>:</w:t>
      </w:r>
    </w:p>
    <w:p w14:paraId="797A5EDB" w14:textId="77777777" w:rsidR="0006708B" w:rsidRDefault="0006708B" w:rsidP="0006708B">
      <w:pPr>
        <w:jc w:val="both"/>
        <w:rPr>
          <w:sz w:val="24"/>
          <w:szCs w:val="24"/>
        </w:rPr>
      </w:pPr>
    </w:p>
    <w:p w14:paraId="6696009A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Začátek stavby</w:t>
      </w:r>
    </w:p>
    <w:p w14:paraId="23A1F654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1</w:t>
      </w:r>
      <w:r>
        <w:rPr>
          <w:sz w:val="24"/>
          <w:szCs w:val="24"/>
        </w:rPr>
        <w:tab/>
        <w:t>1x6hod</w:t>
      </w:r>
    </w:p>
    <w:p w14:paraId="1773BAF3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2</w:t>
      </w:r>
      <w:r>
        <w:rPr>
          <w:sz w:val="24"/>
          <w:szCs w:val="24"/>
        </w:rPr>
        <w:tab/>
        <w:t>1x6hod</w:t>
      </w:r>
    </w:p>
    <w:p w14:paraId="4DD7CC3A" w14:textId="77777777" w:rsidR="0006708B" w:rsidRPr="00F0326C" w:rsidRDefault="0006708B" w:rsidP="002D6583">
      <w:pPr>
        <w:jc w:val="both"/>
        <w:rPr>
          <w:szCs w:val="22"/>
        </w:rPr>
      </w:pPr>
    </w:p>
    <w:p w14:paraId="6AC29FA4" w14:textId="77777777" w:rsidR="002A2562" w:rsidRPr="00F0326C" w:rsidRDefault="002A2562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Nové trakční vedení je navrženo podle vzorové sestavy pro elektrizaci železničních tratí </w:t>
      </w:r>
      <w:bookmarkStart w:id="16" w:name="_Hlk31383132"/>
      <w:r w:rsidRPr="00F0326C">
        <w:rPr>
          <w:b/>
        </w:rPr>
        <w:t>S</w:t>
      </w:r>
      <w:r w:rsidR="00C25D1B">
        <w:rPr>
          <w:b/>
        </w:rPr>
        <w:t xml:space="preserve">právy železnic </w:t>
      </w:r>
      <w:bookmarkEnd w:id="16"/>
      <w:r w:rsidRPr="00F0326C">
        <w:rPr>
          <w:b/>
        </w:rPr>
        <w:t xml:space="preserve">proudovou soustavou 2 DC 3kV/IT. Pokud je v projektu uveden odkaz na konkrétní sestavení (součást) – převážně používané ze sestavy „J“, je tím pouze uveden minimální standard pro uvedený prvek, je možné použít i jiný schválený </w:t>
      </w:r>
      <w:bookmarkStart w:id="17" w:name="_Hlk31383149"/>
      <w:bookmarkStart w:id="18" w:name="_Hlk31383659"/>
      <w:r w:rsidRPr="00F0326C">
        <w:rPr>
          <w:b/>
        </w:rPr>
        <w:t>S</w:t>
      </w:r>
      <w:r w:rsidR="00C25D1B">
        <w:rPr>
          <w:b/>
        </w:rPr>
        <w:t>právou železnic</w:t>
      </w:r>
      <w:bookmarkEnd w:id="17"/>
      <w:r w:rsidRPr="00F0326C">
        <w:rPr>
          <w:b/>
        </w:rPr>
        <w:t xml:space="preserve"> </w:t>
      </w:r>
      <w:bookmarkEnd w:id="18"/>
      <w:r w:rsidRPr="00F0326C">
        <w:rPr>
          <w:b/>
        </w:rPr>
        <w:t>s minimálně stejnými nebo lepšími vlastnostmi. Potom je možné, že tato změna vyvolá i změnu řešení některých konstrukčních detailů uvedených v projektu.</w:t>
      </w:r>
    </w:p>
    <w:p w14:paraId="477336DC" w14:textId="77777777" w:rsidR="00A139D7" w:rsidRPr="00F0326C" w:rsidRDefault="00A139D7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Všechny nové izolátory musí být vyhovující pro izolační hladinu 25kV z důvodu přípravy na výhledový přechod na jednotnou trakční soustavu 25kV, </w:t>
      </w:r>
      <w:proofErr w:type="gramStart"/>
      <w:r w:rsidRPr="00F0326C">
        <w:rPr>
          <w:b/>
        </w:rPr>
        <w:t>50Hz</w:t>
      </w:r>
      <w:proofErr w:type="gramEnd"/>
      <w:r w:rsidRPr="00F0326C">
        <w:rPr>
          <w:b/>
        </w:rPr>
        <w:t xml:space="preserve">. </w:t>
      </w:r>
    </w:p>
    <w:p w14:paraId="2A0C7F6C" w14:textId="77777777" w:rsidR="000F5B07" w:rsidRPr="003C6195" w:rsidRDefault="000F5B07" w:rsidP="005267EA">
      <w:pPr>
        <w:rPr>
          <w:b/>
          <w:color w:val="FF0000"/>
          <w:sz w:val="24"/>
          <w:szCs w:val="24"/>
          <w:u w:val="single"/>
        </w:rPr>
      </w:pPr>
    </w:p>
    <w:p w14:paraId="3C81227C" w14:textId="77777777" w:rsidR="005267EA" w:rsidRPr="00F0326C" w:rsidRDefault="005267EA" w:rsidP="005B1019">
      <w:pPr>
        <w:pStyle w:val="Nadpis2"/>
      </w:pPr>
      <w:bookmarkStart w:id="19" w:name="_Toc64356285"/>
      <w:proofErr w:type="gramStart"/>
      <w:r w:rsidRPr="00F0326C">
        <w:t xml:space="preserve">3.1  </w:t>
      </w:r>
      <w:r w:rsidR="004023BE" w:rsidRPr="00F0326C">
        <w:t>Z</w:t>
      </w:r>
      <w:r w:rsidRPr="00F0326C">
        <w:t>áklad</w:t>
      </w:r>
      <w:r w:rsidR="00A0366D" w:rsidRPr="00F0326C">
        <w:t>y</w:t>
      </w:r>
      <w:bookmarkEnd w:id="19"/>
      <w:proofErr w:type="gramEnd"/>
    </w:p>
    <w:p w14:paraId="4114B721" w14:textId="7D568915" w:rsidR="00C82808" w:rsidRPr="00C82808" w:rsidRDefault="00C82808" w:rsidP="00C82808">
      <w:pPr>
        <w:rPr>
          <w:sz w:val="24"/>
          <w:szCs w:val="24"/>
        </w:rPr>
      </w:pPr>
      <w:r w:rsidRPr="00C82808">
        <w:rPr>
          <w:sz w:val="24"/>
          <w:szCs w:val="24"/>
        </w:rPr>
        <w:t>Výstavba nových základů TV není ve stavbě navržena</w:t>
      </w:r>
    </w:p>
    <w:p w14:paraId="52C23CC9" w14:textId="77777777" w:rsidR="00FB0D0D" w:rsidRPr="00F0326C" w:rsidRDefault="00C0109C" w:rsidP="005B1019">
      <w:pPr>
        <w:pStyle w:val="Nadpis2"/>
      </w:pPr>
      <w:bookmarkStart w:id="20" w:name="_Toc64356286"/>
      <w:proofErr w:type="gramStart"/>
      <w:r w:rsidRPr="00F0326C">
        <w:t>3.</w:t>
      </w:r>
      <w:r w:rsidR="005267EA" w:rsidRPr="00F0326C">
        <w:t>2</w:t>
      </w:r>
      <w:r w:rsidRPr="00F0326C">
        <w:t xml:space="preserve">  Stožár</w:t>
      </w:r>
      <w:r w:rsidR="00A0366D" w:rsidRPr="00F0326C">
        <w:t>y</w:t>
      </w:r>
      <w:proofErr w:type="gramEnd"/>
      <w:r w:rsidR="001738B8">
        <w:t xml:space="preserve"> a nosné brány</w:t>
      </w:r>
      <w:bookmarkEnd w:id="20"/>
    </w:p>
    <w:p w14:paraId="00A2D605" w14:textId="77777777" w:rsidR="00137172" w:rsidRPr="00F0326C" w:rsidRDefault="00C82808" w:rsidP="007071CA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Stavba nových podpěr TV není ve stavbě navržena</w:t>
      </w:r>
    </w:p>
    <w:p w14:paraId="01F93FFB" w14:textId="77777777" w:rsidR="00B44410" w:rsidRPr="00F0326C" w:rsidRDefault="00B44410" w:rsidP="005B1019">
      <w:pPr>
        <w:pStyle w:val="Nadpis2"/>
      </w:pPr>
      <w:bookmarkStart w:id="21" w:name="_Toc64356287"/>
      <w:proofErr w:type="gramStart"/>
      <w:r w:rsidRPr="00F0326C">
        <w:lastRenderedPageBreak/>
        <w:t>3.</w:t>
      </w:r>
      <w:r w:rsidR="005267EA" w:rsidRPr="00F0326C">
        <w:t>3</w:t>
      </w:r>
      <w:r w:rsidRPr="00F0326C">
        <w:t xml:space="preserve">  Napájení</w:t>
      </w:r>
      <w:proofErr w:type="gramEnd"/>
      <w:r w:rsidRPr="00F0326C">
        <w:t xml:space="preserve"> trakčního vedení</w:t>
      </w:r>
      <w:bookmarkEnd w:id="21"/>
    </w:p>
    <w:p w14:paraId="07BEBDD5" w14:textId="77777777" w:rsidR="00112111" w:rsidRPr="00F0326C" w:rsidRDefault="004A1C79" w:rsidP="00C82808">
      <w:pPr>
        <w:jc w:val="both"/>
        <w:rPr>
          <w:sz w:val="24"/>
          <w:szCs w:val="24"/>
        </w:rPr>
      </w:pPr>
      <w:r w:rsidRPr="00B44410">
        <w:rPr>
          <w:sz w:val="24"/>
          <w:szCs w:val="24"/>
        </w:rPr>
        <w:t xml:space="preserve">Napájení trakčního </w:t>
      </w:r>
      <w:proofErr w:type="gramStart"/>
      <w:r w:rsidRPr="00B44410">
        <w:rPr>
          <w:sz w:val="24"/>
          <w:szCs w:val="24"/>
        </w:rPr>
        <w:t xml:space="preserve">vedení </w:t>
      </w:r>
      <w:r w:rsidR="00C82808">
        <w:rPr>
          <w:sz w:val="24"/>
          <w:szCs w:val="24"/>
        </w:rPr>
        <w:t xml:space="preserve"> je</w:t>
      </w:r>
      <w:proofErr w:type="gramEnd"/>
      <w:r w:rsidR="00C82808">
        <w:rPr>
          <w:sz w:val="24"/>
          <w:szCs w:val="24"/>
        </w:rPr>
        <w:t xml:space="preserve"> beze změny </w:t>
      </w:r>
    </w:p>
    <w:p w14:paraId="3B8556FE" w14:textId="77777777" w:rsidR="00B44410" w:rsidRPr="00136E04" w:rsidRDefault="00B44410" w:rsidP="005B1019">
      <w:pPr>
        <w:pStyle w:val="Nadpis2"/>
      </w:pPr>
      <w:bookmarkStart w:id="22" w:name="OLE_LINK1"/>
      <w:bookmarkStart w:id="23" w:name="_Toc64356288"/>
      <w:proofErr w:type="gramStart"/>
      <w:r w:rsidRPr="00136E04">
        <w:t>3.</w:t>
      </w:r>
      <w:r w:rsidR="00D2799D" w:rsidRPr="00136E04">
        <w:t>4</w:t>
      </w:r>
      <w:r w:rsidRPr="00136E04">
        <w:t xml:space="preserve">  Použitá</w:t>
      </w:r>
      <w:proofErr w:type="gramEnd"/>
      <w:r w:rsidRPr="00136E04">
        <w:t xml:space="preserve"> sestava trakčního vedení</w:t>
      </w:r>
      <w:bookmarkEnd w:id="23"/>
    </w:p>
    <w:bookmarkEnd w:id="22"/>
    <w:p w14:paraId="5E7B34BC" w14:textId="77777777" w:rsidR="00C82808" w:rsidRPr="00C82808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Traťový úsek je elektrizován stejnosměrnou proudovou soustavou označenou 2 DC 3kV/IT.</w:t>
      </w:r>
    </w:p>
    <w:p w14:paraId="37A303D6" w14:textId="77777777" w:rsidR="00C82808" w:rsidRPr="00C82808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 xml:space="preserve">Systém TV je v obou kolejích řetězovkový hlavní, plně kompenzovaný, napínaný stálým tahem 15 </w:t>
      </w:r>
      <w:proofErr w:type="spellStart"/>
      <w:r w:rsidRPr="00C82808">
        <w:rPr>
          <w:sz w:val="24"/>
          <w:szCs w:val="24"/>
        </w:rPr>
        <w:t>kN</w:t>
      </w:r>
      <w:proofErr w:type="spellEnd"/>
      <w:r w:rsidRPr="00C82808">
        <w:rPr>
          <w:sz w:val="24"/>
          <w:szCs w:val="24"/>
        </w:rPr>
        <w:t xml:space="preserve"> v troleji i nosném laně. Průřez trolej je 150mm2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, průřez nosného lana je 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>.</w:t>
      </w:r>
    </w:p>
    <w:p w14:paraId="03D70608" w14:textId="77777777" w:rsidR="00335B6F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 xml:space="preserve">Vodiče TV jsou doplněny zesilovacím vedením </w:t>
      </w:r>
      <w:r w:rsidR="00B378CF">
        <w:rPr>
          <w:sz w:val="24"/>
          <w:szCs w:val="24"/>
        </w:rPr>
        <w:t>2</w:t>
      </w:r>
      <w:r w:rsidRPr="00C82808">
        <w:rPr>
          <w:sz w:val="24"/>
          <w:szCs w:val="24"/>
        </w:rPr>
        <w:t xml:space="preserve">x120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 v každé koleji.</w:t>
      </w:r>
    </w:p>
    <w:p w14:paraId="6B0F19D9" w14:textId="77777777" w:rsidR="00B44410" w:rsidRPr="00136E04" w:rsidRDefault="00B44410" w:rsidP="005B1019">
      <w:pPr>
        <w:pStyle w:val="Nadpis2"/>
      </w:pPr>
      <w:bookmarkStart w:id="24" w:name="_Toc64356289"/>
      <w:proofErr w:type="gramStart"/>
      <w:r w:rsidRPr="00136E04">
        <w:t>3.</w:t>
      </w:r>
      <w:r w:rsidR="004023BE" w:rsidRPr="00136E04">
        <w:t>5</w:t>
      </w:r>
      <w:r w:rsidRPr="00136E04">
        <w:t xml:space="preserve">  Pevné</w:t>
      </w:r>
      <w:proofErr w:type="gramEnd"/>
      <w:r w:rsidRPr="00136E04">
        <w:t xml:space="preserve"> body</w:t>
      </w:r>
      <w:bookmarkEnd w:id="24"/>
    </w:p>
    <w:p w14:paraId="3D5F9BD5" w14:textId="77777777" w:rsidR="00335B6F" w:rsidRDefault="00335B6F" w:rsidP="009267A6">
      <w:pPr>
        <w:pStyle w:val="Zkladntext"/>
        <w:jc w:val="both"/>
        <w:rPr>
          <w:szCs w:val="24"/>
        </w:rPr>
      </w:pPr>
    </w:p>
    <w:p w14:paraId="17EA19EA" w14:textId="77777777" w:rsidR="00901ED8" w:rsidRPr="00136E04" w:rsidRDefault="00C82808" w:rsidP="000F291C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0AF0F031" w14:textId="77777777" w:rsidR="00130DB2" w:rsidRPr="00136E04" w:rsidRDefault="00130DB2" w:rsidP="005B1019">
      <w:pPr>
        <w:pStyle w:val="Nadpis2"/>
      </w:pPr>
      <w:bookmarkStart w:id="25" w:name="_Toc64356290"/>
      <w:proofErr w:type="gramStart"/>
      <w:r w:rsidRPr="00136E04">
        <w:t>3.6  Závěsy</w:t>
      </w:r>
      <w:proofErr w:type="gramEnd"/>
      <w:r w:rsidRPr="00136E04">
        <w:t xml:space="preserve"> na </w:t>
      </w:r>
      <w:r w:rsidR="00F1122D" w:rsidRPr="00136E04">
        <w:t xml:space="preserve">konzolách a </w:t>
      </w:r>
      <w:r w:rsidRPr="00136E04">
        <w:t>branách</w:t>
      </w:r>
      <w:bookmarkEnd w:id="25"/>
    </w:p>
    <w:p w14:paraId="583B3488" w14:textId="77777777" w:rsidR="003D621B" w:rsidRPr="00136E04" w:rsidRDefault="003D621B" w:rsidP="00130DB2">
      <w:pPr>
        <w:pStyle w:val="Zkladntext"/>
        <w:jc w:val="both"/>
        <w:rPr>
          <w:szCs w:val="24"/>
        </w:rPr>
      </w:pPr>
    </w:p>
    <w:p w14:paraId="725B301A" w14:textId="77777777" w:rsidR="00C82808" w:rsidRPr="00136E04" w:rsidRDefault="00C82808" w:rsidP="00C82808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2F514876" w14:textId="77777777" w:rsidR="00335B6F" w:rsidRPr="00B44410" w:rsidRDefault="00335B6F" w:rsidP="005B1019">
      <w:pPr>
        <w:pStyle w:val="Nadpis2"/>
      </w:pPr>
      <w:bookmarkStart w:id="26" w:name="_Toc64356291"/>
      <w:proofErr w:type="gramStart"/>
      <w:r w:rsidRPr="00B44410">
        <w:t>3.</w:t>
      </w:r>
      <w:r>
        <w:t>7</w:t>
      </w:r>
      <w:r w:rsidRPr="00B44410">
        <w:t xml:space="preserve">  Výška</w:t>
      </w:r>
      <w:proofErr w:type="gramEnd"/>
      <w:r w:rsidRPr="00B44410">
        <w:t xml:space="preserve"> trolejového drátu</w:t>
      </w:r>
      <w:bookmarkEnd w:id="26"/>
    </w:p>
    <w:p w14:paraId="5C55A9D0" w14:textId="77777777" w:rsidR="00C82808" w:rsidRDefault="00C82808" w:rsidP="00335B6F">
      <w:pPr>
        <w:jc w:val="both"/>
        <w:rPr>
          <w:sz w:val="24"/>
          <w:szCs w:val="24"/>
        </w:rPr>
      </w:pPr>
    </w:p>
    <w:p w14:paraId="5D606D52" w14:textId="77777777" w:rsidR="00335B6F" w:rsidRPr="00C82808" w:rsidRDefault="00335B6F" w:rsidP="00335B6F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Základní výška trolejového drátu podle ČSN 341530</w:t>
      </w:r>
      <w:r w:rsidR="00A03D3C" w:rsidRPr="00C82808">
        <w:rPr>
          <w:sz w:val="24"/>
          <w:szCs w:val="24"/>
        </w:rPr>
        <w:t xml:space="preserve"> ed.2</w:t>
      </w:r>
      <w:r w:rsidRPr="00C82808">
        <w:rPr>
          <w:sz w:val="24"/>
          <w:szCs w:val="24"/>
        </w:rPr>
        <w:t xml:space="preserve"> je 5,50 m nad TK. Projektovaná normální výška troleje v závěsech ve stanici je 5,60 m nad TK.</w:t>
      </w:r>
    </w:p>
    <w:p w14:paraId="574EDE0C" w14:textId="77777777" w:rsidR="00335B6F" w:rsidRPr="00C82808" w:rsidRDefault="00335B6F" w:rsidP="00335B6F">
      <w:pPr>
        <w:pStyle w:val="Zkladntext"/>
        <w:jc w:val="both"/>
        <w:rPr>
          <w:szCs w:val="24"/>
        </w:rPr>
      </w:pPr>
      <w:r w:rsidRPr="00C82808">
        <w:rPr>
          <w:szCs w:val="24"/>
        </w:rPr>
        <w:t>Změna výšky troleje není navržena.</w:t>
      </w:r>
    </w:p>
    <w:p w14:paraId="07A9447C" w14:textId="77777777" w:rsidR="00943A1A" w:rsidRPr="00C82808" w:rsidRDefault="00943A1A" w:rsidP="00335B6F">
      <w:pPr>
        <w:pStyle w:val="Zkladntext"/>
        <w:jc w:val="both"/>
        <w:rPr>
          <w:szCs w:val="24"/>
        </w:rPr>
      </w:pPr>
    </w:p>
    <w:p w14:paraId="03B4FF86" w14:textId="77777777" w:rsidR="00943A1A" w:rsidRDefault="00F31348" w:rsidP="005B1019">
      <w:pPr>
        <w:pStyle w:val="Nadpis2"/>
      </w:pPr>
      <w:bookmarkStart w:id="27" w:name="_Toc64356292"/>
      <w:proofErr w:type="gramStart"/>
      <w:r>
        <w:t>3</w:t>
      </w:r>
      <w:r w:rsidR="00943A1A">
        <w:t>.</w:t>
      </w:r>
      <w:r>
        <w:t>8</w:t>
      </w:r>
      <w:r w:rsidR="00943A1A">
        <w:t xml:space="preserve">  Zesilovací</w:t>
      </w:r>
      <w:proofErr w:type="gramEnd"/>
      <w:r w:rsidR="00943A1A">
        <w:t xml:space="preserve"> vedení</w:t>
      </w:r>
      <w:bookmarkEnd w:id="27"/>
    </w:p>
    <w:p w14:paraId="39DA3CAA" w14:textId="77777777" w:rsidR="007071CA" w:rsidRDefault="007071CA" w:rsidP="007071CA"/>
    <w:p w14:paraId="51BB6D2E" w14:textId="2889E123" w:rsidR="00C82808" w:rsidRDefault="00C82808" w:rsidP="007071CA">
      <w:r w:rsidRPr="00C82808">
        <w:t xml:space="preserve">Stávající zesilovací vedení je průřezu 1 x 120mm2 </w:t>
      </w:r>
      <w:proofErr w:type="spellStart"/>
      <w:proofErr w:type="gramStart"/>
      <w:r w:rsidRPr="00C82808">
        <w:t>Cu</w:t>
      </w:r>
      <w:proofErr w:type="spellEnd"/>
      <w:r w:rsidRPr="00C82808">
        <w:t xml:space="preserve"> .</w:t>
      </w:r>
      <w:proofErr w:type="gramEnd"/>
      <w:r w:rsidRPr="00C82808">
        <w:t xml:space="preserve"> Zesilovací vedení je na stožárech uchyceno na svislých nebo „V“ závěsech. Proudová propojení jsou navržena z lana 95 </w:t>
      </w:r>
      <w:proofErr w:type="spellStart"/>
      <w:r w:rsidRPr="00C82808">
        <w:t>Cu</w:t>
      </w:r>
      <w:proofErr w:type="spellEnd"/>
      <w:r w:rsidRPr="00C82808">
        <w:t xml:space="preserve"> ve vzdálenostech podle sestavy „J“. </w:t>
      </w:r>
    </w:p>
    <w:p w14:paraId="4C8EB556" w14:textId="77777777" w:rsidR="007071CA" w:rsidRDefault="007071CA" w:rsidP="007071CA">
      <w:pPr>
        <w:rPr>
          <w:b/>
          <w:bCs/>
          <w:i/>
          <w:iCs/>
        </w:rPr>
      </w:pPr>
    </w:p>
    <w:p w14:paraId="1E584BB7" w14:textId="77777777" w:rsidR="00286913" w:rsidRPr="00286913" w:rsidRDefault="00286913" w:rsidP="005B1019">
      <w:pPr>
        <w:pStyle w:val="Nadpis2"/>
      </w:pPr>
      <w:bookmarkStart w:id="28" w:name="_Toc64356293"/>
      <w:proofErr w:type="gramStart"/>
      <w:r w:rsidRPr="00286913">
        <w:t>3.9  Osvětlení</w:t>
      </w:r>
      <w:proofErr w:type="gramEnd"/>
      <w:r w:rsidRPr="00286913">
        <w:t xml:space="preserve"> na trakčních podpěrách</w:t>
      </w:r>
      <w:bookmarkEnd w:id="28"/>
    </w:p>
    <w:p w14:paraId="49D54F4E" w14:textId="77777777" w:rsidR="007071CA" w:rsidRDefault="007071CA" w:rsidP="007071CA"/>
    <w:p w14:paraId="3C5D6254" w14:textId="0DA9A030" w:rsidR="00C82808" w:rsidRDefault="00C82808" w:rsidP="007071CA">
      <w:r w:rsidRPr="00C82808">
        <w:t>Není navrženo.</w:t>
      </w:r>
    </w:p>
    <w:p w14:paraId="3F7308F6" w14:textId="77777777" w:rsidR="007071CA" w:rsidRPr="00C82808" w:rsidRDefault="007071CA" w:rsidP="007071CA">
      <w:pPr>
        <w:rPr>
          <w:b/>
          <w:bCs/>
          <w:i/>
          <w:iCs/>
        </w:rPr>
      </w:pPr>
    </w:p>
    <w:p w14:paraId="659208DB" w14:textId="77777777" w:rsidR="00EF7984" w:rsidRDefault="00EF7984" w:rsidP="005B1019">
      <w:pPr>
        <w:pStyle w:val="Nadpis2"/>
      </w:pPr>
      <w:bookmarkStart w:id="29" w:name="_Toc64356294"/>
      <w:r>
        <w:t xml:space="preserve">3.10 </w:t>
      </w:r>
      <w:r w:rsidRPr="00EF7984">
        <w:t>Závěsný kabel 22kV na trakčních podpěrách</w:t>
      </w:r>
      <w:bookmarkEnd w:id="29"/>
    </w:p>
    <w:p w14:paraId="7DEE4601" w14:textId="77777777" w:rsidR="007071CA" w:rsidRDefault="007071CA" w:rsidP="007071CA"/>
    <w:p w14:paraId="2E6A9951" w14:textId="17504831" w:rsidR="00C82808" w:rsidRPr="00C82808" w:rsidRDefault="00C82808" w:rsidP="007071CA">
      <w:pPr>
        <w:rPr>
          <w:b/>
          <w:bCs/>
          <w:i/>
          <w:iCs/>
        </w:rPr>
      </w:pPr>
      <w:r w:rsidRPr="00C82808">
        <w:t>Není navržen.</w:t>
      </w:r>
    </w:p>
    <w:p w14:paraId="4A889782" w14:textId="77777777" w:rsidR="00EF7984" w:rsidRPr="00EF7984" w:rsidRDefault="00EF7984" w:rsidP="005B1019">
      <w:pPr>
        <w:pStyle w:val="Nadpis2"/>
      </w:pPr>
      <w:bookmarkStart w:id="30" w:name="_Toc64356295"/>
      <w:r>
        <w:t xml:space="preserve">3.11 </w:t>
      </w:r>
      <w:r w:rsidRPr="00EF7984">
        <w:t xml:space="preserve">Závěsný </w:t>
      </w:r>
      <w:r>
        <w:t>optický kabel</w:t>
      </w:r>
      <w:bookmarkEnd w:id="30"/>
    </w:p>
    <w:p w14:paraId="73E00EE9" w14:textId="77777777" w:rsidR="007071CA" w:rsidRDefault="007071CA" w:rsidP="007071CA"/>
    <w:p w14:paraId="75294352" w14:textId="33EF06AE" w:rsidR="00C82808" w:rsidRPr="00C82808" w:rsidRDefault="00C82808" w:rsidP="007071CA">
      <w:pPr>
        <w:rPr>
          <w:b/>
          <w:bCs/>
          <w:i/>
          <w:iCs/>
        </w:rPr>
      </w:pPr>
      <w:r w:rsidRPr="00C82808">
        <w:t>Není navržen.</w:t>
      </w:r>
    </w:p>
    <w:p w14:paraId="4B088C9C" w14:textId="536CD2F0" w:rsidR="00C82808" w:rsidRDefault="007071CA" w:rsidP="00C82808">
      <w:pPr>
        <w:pStyle w:val="Nadpis1"/>
      </w:pPr>
      <w:bookmarkStart w:id="31" w:name="_Toc524708025"/>
      <w:bookmarkStart w:id="32" w:name="_Toc61621367"/>
      <w:bookmarkStart w:id="33" w:name="_Toc62120010"/>
      <w:bookmarkStart w:id="34" w:name="_Toc64356296"/>
      <w:proofErr w:type="gramStart"/>
      <w:r>
        <w:lastRenderedPageBreak/>
        <w:t>4</w:t>
      </w:r>
      <w:r w:rsidRPr="005E539F">
        <w:t>.0  OCHRANA</w:t>
      </w:r>
      <w:proofErr w:type="gramEnd"/>
      <w:r w:rsidRPr="005E539F">
        <w:t xml:space="preserve"> PŘED ÚRAZEM ELEKTRICKÝM PROUDEM</w:t>
      </w:r>
      <w:bookmarkEnd w:id="31"/>
      <w:bookmarkEnd w:id="32"/>
      <w:bookmarkEnd w:id="33"/>
      <w:bookmarkEnd w:id="34"/>
    </w:p>
    <w:p w14:paraId="22072533" w14:textId="77777777" w:rsidR="00C82808" w:rsidRPr="005E539F" w:rsidRDefault="00C82808" w:rsidP="00C82808">
      <w:pPr>
        <w:pStyle w:val="Nadpis2"/>
      </w:pPr>
      <w:bookmarkStart w:id="35" w:name="_Toc524708026"/>
      <w:bookmarkStart w:id="36" w:name="_Toc61621368"/>
      <w:bookmarkStart w:id="37" w:name="_Toc62120011"/>
      <w:bookmarkStart w:id="38" w:name="_Toc64356297"/>
      <w:r>
        <w:t>4</w:t>
      </w:r>
      <w:r w:rsidRPr="005E539F">
        <w:t>.1 Základní ochrana (ochrana před dotykem živých částí)</w:t>
      </w:r>
      <w:bookmarkEnd w:id="35"/>
      <w:bookmarkEnd w:id="36"/>
      <w:bookmarkEnd w:id="37"/>
      <w:bookmarkEnd w:id="38"/>
      <w:r w:rsidRPr="005E539F">
        <w:t xml:space="preserve"> </w:t>
      </w:r>
    </w:p>
    <w:p w14:paraId="072AD7EB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11AA034D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.1.1 Ochrana izolací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424D6BE7" w14:textId="77777777" w:rsidR="00C82808" w:rsidRDefault="00C82808" w:rsidP="00C82808">
      <w:pPr>
        <w:jc w:val="both"/>
        <w:rPr>
          <w:b/>
          <w:sz w:val="24"/>
          <w:szCs w:val="24"/>
        </w:rPr>
      </w:pPr>
    </w:p>
    <w:p w14:paraId="2F3148F9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>2</w:t>
      </w:r>
      <w:r w:rsidRPr="005E539F">
        <w:rPr>
          <w:b/>
          <w:sz w:val="24"/>
          <w:szCs w:val="24"/>
        </w:rPr>
        <w:t xml:space="preserve"> Ochrana </w:t>
      </w:r>
      <w:r>
        <w:rPr>
          <w:b/>
          <w:sz w:val="24"/>
          <w:szCs w:val="24"/>
        </w:rPr>
        <w:t xml:space="preserve">polohou (vzdušnou vzdáleností) – </w:t>
      </w:r>
      <w:r w:rsidRPr="002825C0">
        <w:rPr>
          <w:bCs/>
          <w:sz w:val="24"/>
          <w:szCs w:val="24"/>
        </w:rPr>
        <w:t>zůstává stávající</w:t>
      </w:r>
    </w:p>
    <w:p w14:paraId="10C939F3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12C0C951" w14:textId="77777777" w:rsidR="00C82808" w:rsidRDefault="00C82808" w:rsidP="00C82808">
      <w:pPr>
        <w:jc w:val="both"/>
        <w:rPr>
          <w:b/>
          <w:sz w:val="24"/>
          <w:u w:val="single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.1.3 Ochrana zábranou, přepážkou nebo krytem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08F7D815" w14:textId="77777777" w:rsidR="00C82808" w:rsidRDefault="00C82808" w:rsidP="00C82808">
      <w:pPr>
        <w:rPr>
          <w:b/>
          <w:sz w:val="24"/>
          <w:u w:val="single"/>
        </w:rPr>
      </w:pPr>
    </w:p>
    <w:p w14:paraId="27296530" w14:textId="77777777" w:rsidR="00C82808" w:rsidRPr="005E539F" w:rsidRDefault="00C82808" w:rsidP="00C82808">
      <w:pPr>
        <w:pStyle w:val="Nadpis2"/>
      </w:pPr>
      <w:bookmarkStart w:id="39" w:name="_Toc524708027"/>
      <w:bookmarkStart w:id="40" w:name="_Toc61621369"/>
      <w:bookmarkStart w:id="41" w:name="_Toc62120012"/>
      <w:bookmarkStart w:id="42" w:name="_Toc64356298"/>
      <w:r>
        <w:t>4</w:t>
      </w:r>
      <w:r w:rsidRPr="005E539F">
        <w:t>.2 Ochrana při poruše (Ochrana před nebezpečným dotykem neživých částí)</w:t>
      </w:r>
      <w:bookmarkEnd w:id="39"/>
      <w:bookmarkEnd w:id="40"/>
      <w:bookmarkEnd w:id="41"/>
      <w:bookmarkEnd w:id="42"/>
      <w:r w:rsidRPr="005E539F">
        <w:t xml:space="preserve"> </w:t>
      </w:r>
    </w:p>
    <w:p w14:paraId="7A1BA7D1" w14:textId="77777777" w:rsidR="00C82808" w:rsidRDefault="00C82808" w:rsidP="00C82808">
      <w:pPr>
        <w:jc w:val="both"/>
        <w:rPr>
          <w:sz w:val="24"/>
          <w:szCs w:val="24"/>
        </w:rPr>
      </w:pPr>
      <w:r w:rsidRPr="008D0A31">
        <w:rPr>
          <w:b/>
          <w:sz w:val="24"/>
          <w:u w:val="single"/>
        </w:rPr>
        <w:br/>
      </w: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2.</w:t>
      </w:r>
      <w:r w:rsidRPr="005E539F">
        <w:rPr>
          <w:b/>
          <w:sz w:val="24"/>
          <w:szCs w:val="24"/>
        </w:rPr>
        <w:t xml:space="preserve">1 – </w:t>
      </w:r>
      <w:r>
        <w:rPr>
          <w:b/>
          <w:sz w:val="24"/>
          <w:szCs w:val="24"/>
        </w:rPr>
        <w:t xml:space="preserve">Ochrana </w:t>
      </w:r>
      <w:proofErr w:type="gramStart"/>
      <w:r>
        <w:rPr>
          <w:b/>
          <w:sz w:val="24"/>
          <w:szCs w:val="24"/>
        </w:rPr>
        <w:t xml:space="preserve">ukolejněním - </w:t>
      </w:r>
      <w:r w:rsidRPr="009F2B9B">
        <w:rPr>
          <w:sz w:val="24"/>
          <w:szCs w:val="24"/>
        </w:rPr>
        <w:t>je</w:t>
      </w:r>
      <w:proofErr w:type="gramEnd"/>
      <w:r w:rsidRPr="009F2B9B">
        <w:rPr>
          <w:sz w:val="24"/>
          <w:szCs w:val="24"/>
        </w:rPr>
        <w:t xml:space="preserve"> řešena ve smyslu ČSN 341500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 xml:space="preserve">, ČSN 341530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při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 xml:space="preserve">respektování ustanovení ČSN IEC 913, ČSN EN 50122-1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a ČSN 50122-2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>Ukolejnění musí být provedeno tak, aby nebyla ovlivněna funkce zabezpečovacího zařízení.</w:t>
      </w:r>
      <w:r>
        <w:rPr>
          <w:sz w:val="24"/>
          <w:szCs w:val="24"/>
        </w:rPr>
        <w:t xml:space="preserve"> Je použito </w:t>
      </w:r>
      <w:r w:rsidRPr="009F2B9B">
        <w:rPr>
          <w:sz w:val="24"/>
          <w:szCs w:val="24"/>
        </w:rPr>
        <w:t xml:space="preserve">individuální </w:t>
      </w:r>
      <w:r>
        <w:rPr>
          <w:sz w:val="24"/>
          <w:szCs w:val="24"/>
        </w:rPr>
        <w:t xml:space="preserve">nepřímé </w:t>
      </w:r>
      <w:r w:rsidRPr="009F2B9B">
        <w:rPr>
          <w:sz w:val="24"/>
          <w:szCs w:val="24"/>
        </w:rPr>
        <w:t xml:space="preserve">ukolejnění jednotlivých stožárů a konstrukcí </w:t>
      </w:r>
      <w:r>
        <w:rPr>
          <w:sz w:val="24"/>
          <w:szCs w:val="24"/>
        </w:rPr>
        <w:t xml:space="preserve">(do vodivého spojení chráněné konstrukce se zpětným kolejnicovým vedením je vloženo zařízení pro omezení </w:t>
      </w:r>
      <w:proofErr w:type="gramStart"/>
      <w:r>
        <w:rPr>
          <w:sz w:val="24"/>
          <w:szCs w:val="24"/>
        </w:rPr>
        <w:t>napětí - opakovatelná</w:t>
      </w:r>
      <w:proofErr w:type="gramEnd"/>
      <w:r>
        <w:rPr>
          <w:sz w:val="24"/>
          <w:szCs w:val="24"/>
        </w:rPr>
        <w:t xml:space="preserve"> průrazka)</w:t>
      </w:r>
      <w:r w:rsidRPr="009F2B9B">
        <w:rPr>
          <w:sz w:val="24"/>
          <w:szCs w:val="24"/>
        </w:rPr>
        <w:t xml:space="preserve">. </w:t>
      </w:r>
    </w:p>
    <w:p w14:paraId="120204C6" w14:textId="77777777" w:rsidR="00C82808" w:rsidRPr="007B6A3C" w:rsidRDefault="00C82808" w:rsidP="00C82808">
      <w:pPr>
        <w:jc w:val="both"/>
        <w:rPr>
          <w:sz w:val="24"/>
          <w:szCs w:val="24"/>
        </w:rPr>
      </w:pPr>
      <w:r w:rsidRPr="007B6A3C">
        <w:rPr>
          <w:sz w:val="24"/>
          <w:szCs w:val="24"/>
          <w:lang w:eastAsia="x-none"/>
        </w:rPr>
        <w:t xml:space="preserve">Po realizaci </w:t>
      </w:r>
      <w:r>
        <w:rPr>
          <w:sz w:val="24"/>
          <w:szCs w:val="24"/>
          <w:lang w:eastAsia="x-none"/>
        </w:rPr>
        <w:t>musí být</w:t>
      </w:r>
      <w:r w:rsidRPr="007B6A3C">
        <w:rPr>
          <w:sz w:val="24"/>
          <w:szCs w:val="24"/>
          <w:lang w:eastAsia="x-none"/>
        </w:rPr>
        <w:t xml:space="preserve"> provedeno měření dovolených dotykových napětí dle normy ČSN EN 50122-1 </w:t>
      </w:r>
      <w:proofErr w:type="spellStart"/>
      <w:r w:rsidRPr="007B6A3C">
        <w:rPr>
          <w:sz w:val="24"/>
          <w:szCs w:val="24"/>
          <w:lang w:eastAsia="x-none"/>
        </w:rPr>
        <w:t>ed</w:t>
      </w:r>
      <w:proofErr w:type="spellEnd"/>
      <w:r w:rsidRPr="007B6A3C">
        <w:rPr>
          <w:sz w:val="24"/>
          <w:szCs w:val="24"/>
          <w:lang w:eastAsia="x-none"/>
        </w:rPr>
        <w:t>. 2 pro krátkodobé i dlouhodobé stavy</w:t>
      </w:r>
      <w:r>
        <w:rPr>
          <w:sz w:val="24"/>
          <w:szCs w:val="24"/>
          <w:lang w:eastAsia="x-none"/>
        </w:rPr>
        <w:t>.</w:t>
      </w:r>
    </w:p>
    <w:p w14:paraId="727DDF8B" w14:textId="77777777" w:rsidR="00C82808" w:rsidRDefault="00C82808" w:rsidP="00C82808">
      <w:pPr>
        <w:jc w:val="both"/>
        <w:rPr>
          <w:sz w:val="24"/>
          <w:szCs w:val="24"/>
        </w:rPr>
      </w:pPr>
    </w:p>
    <w:p w14:paraId="61F5B980" w14:textId="77777777" w:rsidR="00C82808" w:rsidRPr="00C31FE9" w:rsidRDefault="00C82808" w:rsidP="007071CA">
      <w:pPr>
        <w:pStyle w:val="Nadpis2"/>
      </w:pPr>
      <w:bookmarkStart w:id="43" w:name="_Toc524708028"/>
      <w:bookmarkStart w:id="44" w:name="_Toc61621370"/>
      <w:bookmarkStart w:id="45" w:name="_Toc62120013"/>
      <w:bookmarkStart w:id="46" w:name="_Toc64356299"/>
      <w:proofErr w:type="gramStart"/>
      <w:r w:rsidRPr="00C31FE9">
        <w:t>4.3  Ochrana</w:t>
      </w:r>
      <w:proofErr w:type="gramEnd"/>
      <w:r w:rsidRPr="00C31FE9">
        <w:t xml:space="preserve"> před přepětím</w:t>
      </w:r>
      <w:bookmarkEnd w:id="43"/>
      <w:bookmarkEnd w:id="44"/>
      <w:bookmarkEnd w:id="45"/>
      <w:bookmarkEnd w:id="46"/>
    </w:p>
    <w:p w14:paraId="2ADA53D2" w14:textId="77777777" w:rsidR="00C82808" w:rsidRDefault="00C82808" w:rsidP="00C82808">
      <w:pPr>
        <w:jc w:val="both"/>
        <w:rPr>
          <w:sz w:val="24"/>
          <w:szCs w:val="24"/>
        </w:rPr>
      </w:pPr>
    </w:p>
    <w:p w14:paraId="14CE5D7C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4.3.</w:t>
      </w:r>
      <w:r w:rsidRPr="00E97F90">
        <w:rPr>
          <w:b/>
          <w:sz w:val="24"/>
          <w:szCs w:val="24"/>
        </w:rPr>
        <w:t xml:space="preserve">1 Připojení ochran před přepětím </w:t>
      </w:r>
      <w:r>
        <w:rPr>
          <w:b/>
          <w:sz w:val="24"/>
          <w:szCs w:val="24"/>
        </w:rPr>
        <w:t xml:space="preserve">– </w:t>
      </w:r>
      <w:r>
        <w:rPr>
          <w:sz w:val="24"/>
          <w:szCs w:val="24"/>
        </w:rPr>
        <w:t>zůstává stávající.</w:t>
      </w:r>
    </w:p>
    <w:p w14:paraId="4BE50862" w14:textId="263A0F1F" w:rsidR="00C82808" w:rsidRDefault="00C82808" w:rsidP="00C82808">
      <w:pPr>
        <w:pStyle w:val="Zkladntext"/>
        <w:jc w:val="both"/>
        <w:rPr>
          <w:color w:val="FF0000"/>
          <w:szCs w:val="24"/>
        </w:rPr>
      </w:pPr>
    </w:p>
    <w:p w14:paraId="1C62E5AA" w14:textId="77777777" w:rsidR="007071CA" w:rsidRPr="003C6195" w:rsidRDefault="007071CA" w:rsidP="00C82808">
      <w:pPr>
        <w:pStyle w:val="Zkladntext"/>
        <w:jc w:val="both"/>
        <w:rPr>
          <w:color w:val="FF0000"/>
          <w:szCs w:val="24"/>
        </w:rPr>
      </w:pPr>
    </w:p>
    <w:p w14:paraId="2C7F6321" w14:textId="4DC33A5B" w:rsidR="00C82808" w:rsidRPr="00C31FE9" w:rsidRDefault="007071CA" w:rsidP="007071CA">
      <w:pPr>
        <w:pStyle w:val="Nadpis1"/>
        <w:rPr>
          <w:i/>
        </w:rPr>
      </w:pPr>
      <w:bookmarkStart w:id="47" w:name="_Toc62120014"/>
      <w:bookmarkStart w:id="48" w:name="_Toc64356300"/>
      <w:r w:rsidRPr="00C31FE9">
        <w:t>5.0 ZPĚTNÉ VEDENÍ</w:t>
      </w:r>
      <w:bookmarkEnd w:id="47"/>
      <w:bookmarkEnd w:id="48"/>
    </w:p>
    <w:p w14:paraId="2E0AC66D" w14:textId="77777777" w:rsidR="00C82808" w:rsidRPr="005F54EF" w:rsidRDefault="00C82808" w:rsidP="00C82808">
      <w:pPr>
        <w:jc w:val="both"/>
        <w:rPr>
          <w:sz w:val="24"/>
          <w:szCs w:val="24"/>
        </w:rPr>
      </w:pPr>
      <w:r w:rsidRPr="005F54EF">
        <w:rPr>
          <w:b/>
          <w:sz w:val="24"/>
          <w:szCs w:val="24"/>
        </w:rPr>
        <w:t xml:space="preserve">5.1 Vedení zpětného trakčního </w:t>
      </w:r>
      <w:proofErr w:type="gramStart"/>
      <w:r w:rsidRPr="005F54EF">
        <w:rPr>
          <w:b/>
          <w:sz w:val="24"/>
          <w:szCs w:val="24"/>
        </w:rPr>
        <w:t>proudu</w:t>
      </w:r>
      <w:r w:rsidRPr="005F54EF">
        <w:rPr>
          <w:sz w:val="24"/>
          <w:szCs w:val="24"/>
        </w:rPr>
        <w:t xml:space="preserve"> - je</w:t>
      </w:r>
      <w:proofErr w:type="gramEnd"/>
      <w:r w:rsidRPr="005F54EF">
        <w:rPr>
          <w:sz w:val="24"/>
          <w:szCs w:val="24"/>
        </w:rPr>
        <w:t xml:space="preserve"> zajištěno pomocí pojížděných kolejnic. </w:t>
      </w:r>
    </w:p>
    <w:p w14:paraId="6E6B0A7A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1B7DE415" w14:textId="77777777" w:rsidR="00C82808" w:rsidRDefault="00C82808" w:rsidP="00C82808">
      <w:pPr>
        <w:jc w:val="both"/>
        <w:rPr>
          <w:sz w:val="24"/>
          <w:szCs w:val="24"/>
        </w:rPr>
      </w:pPr>
      <w:r w:rsidRPr="005F54EF">
        <w:rPr>
          <w:sz w:val="24"/>
          <w:szCs w:val="24"/>
        </w:rPr>
        <w:t>Zajištění vodivé cesty zpětného trakčního proudu s ohledem na izolaci kolejiště pro zabezpečovací zařízení je prokázáno v koordinační</w:t>
      </w:r>
      <w:r>
        <w:rPr>
          <w:sz w:val="24"/>
          <w:szCs w:val="24"/>
        </w:rPr>
        <w:t>m schéma</w:t>
      </w:r>
      <w:r w:rsidRPr="005F54EF">
        <w:rPr>
          <w:sz w:val="24"/>
          <w:szCs w:val="24"/>
        </w:rPr>
        <w:t xml:space="preserve"> ukolejnění a trakčních propojení</w:t>
      </w:r>
      <w:r>
        <w:rPr>
          <w:sz w:val="24"/>
          <w:szCs w:val="24"/>
        </w:rPr>
        <w:t>.</w:t>
      </w:r>
    </w:p>
    <w:p w14:paraId="47A3B38C" w14:textId="77777777" w:rsidR="00C82808" w:rsidRDefault="00C82808" w:rsidP="00C82808">
      <w:pPr>
        <w:jc w:val="both"/>
        <w:rPr>
          <w:sz w:val="24"/>
          <w:szCs w:val="24"/>
        </w:rPr>
      </w:pPr>
    </w:p>
    <w:p w14:paraId="6E2BEB5B" w14:textId="77777777" w:rsidR="00C82808" w:rsidRPr="0066598C" w:rsidRDefault="00C82808" w:rsidP="00C82808">
      <w:pPr>
        <w:jc w:val="both"/>
        <w:rPr>
          <w:sz w:val="24"/>
          <w:szCs w:val="24"/>
        </w:rPr>
      </w:pPr>
      <w:r w:rsidRPr="00664605">
        <w:rPr>
          <w:sz w:val="24"/>
          <w:szCs w:val="24"/>
        </w:rPr>
        <w:t xml:space="preserve">Ověření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k zavedení podle směrnice SŽDC SM33 provede zhotovitel, změny v 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nahlásí alespoň 10 pracovních dní předem správci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>.</w:t>
      </w:r>
    </w:p>
    <w:p w14:paraId="25F0F8AC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2880A6A4" w14:textId="77777777" w:rsidR="00C82808" w:rsidRPr="009F2B9B" w:rsidRDefault="00C82808" w:rsidP="00C82808">
      <w:pPr>
        <w:jc w:val="both"/>
        <w:rPr>
          <w:sz w:val="24"/>
          <w:szCs w:val="24"/>
        </w:rPr>
      </w:pPr>
      <w:r w:rsidRPr="00E97F90">
        <w:rPr>
          <w:b/>
          <w:sz w:val="24"/>
          <w:szCs w:val="24"/>
        </w:rPr>
        <w:t xml:space="preserve">5.2 Protikorozní ochrana úložných zařízení před působením bludných </w:t>
      </w:r>
      <w:proofErr w:type="gramStart"/>
      <w:r w:rsidRPr="00E97F90">
        <w:rPr>
          <w:b/>
          <w:sz w:val="24"/>
          <w:szCs w:val="24"/>
        </w:rPr>
        <w:t>proudů</w:t>
      </w:r>
      <w:r>
        <w:rPr>
          <w:b/>
          <w:sz w:val="24"/>
          <w:szCs w:val="24"/>
        </w:rPr>
        <w:t xml:space="preserve"> -</w:t>
      </w:r>
      <w:r w:rsidRPr="00E97F90">
        <w:rPr>
          <w:sz w:val="24"/>
          <w:szCs w:val="24"/>
        </w:rPr>
        <w:t>p</w:t>
      </w:r>
      <w:r w:rsidRPr="009F2B9B">
        <w:rPr>
          <w:sz w:val="24"/>
          <w:szCs w:val="24"/>
        </w:rPr>
        <w:t>roblematika</w:t>
      </w:r>
      <w:proofErr w:type="gramEnd"/>
      <w:r w:rsidRPr="009F2B9B">
        <w:rPr>
          <w:sz w:val="24"/>
          <w:szCs w:val="24"/>
        </w:rPr>
        <w:t xml:space="preserve"> protikorozní ochrany úložných zařízení je řešena v části B.</w:t>
      </w:r>
    </w:p>
    <w:p w14:paraId="6A85B858" w14:textId="77777777" w:rsidR="00C82808" w:rsidRDefault="00C82808" w:rsidP="00C82808">
      <w:pPr>
        <w:jc w:val="both"/>
        <w:rPr>
          <w:color w:val="FF0000"/>
          <w:sz w:val="24"/>
        </w:rPr>
      </w:pPr>
      <w:r w:rsidRPr="003C6195">
        <w:rPr>
          <w:color w:val="FF0000"/>
          <w:sz w:val="24"/>
        </w:rPr>
        <w:t xml:space="preserve"> </w:t>
      </w:r>
    </w:p>
    <w:p w14:paraId="26FDEED9" w14:textId="77777777" w:rsidR="00C82808" w:rsidRPr="00DE5E4B" w:rsidRDefault="00C82808" w:rsidP="00C82808">
      <w:pPr>
        <w:pStyle w:val="Nadpis1"/>
      </w:pPr>
      <w:bookmarkStart w:id="49" w:name="_Toc61621372"/>
      <w:bookmarkStart w:id="50" w:name="_Toc62120015"/>
      <w:bookmarkStart w:id="51" w:name="_Toc64356301"/>
      <w:proofErr w:type="gramStart"/>
      <w:r>
        <w:lastRenderedPageBreak/>
        <w:t>6</w:t>
      </w:r>
      <w:r w:rsidRPr="00DE5E4B">
        <w:t>.0  REALIZACE</w:t>
      </w:r>
      <w:proofErr w:type="gramEnd"/>
      <w:r w:rsidRPr="00DE5E4B">
        <w:t xml:space="preserve"> PROJEKTU A UVÁDĚNÍ DO PROVOZU</w:t>
      </w:r>
      <w:bookmarkEnd w:id="49"/>
      <w:bookmarkEnd w:id="50"/>
      <w:bookmarkEnd w:id="51"/>
    </w:p>
    <w:p w14:paraId="76C0BD5E" w14:textId="77777777" w:rsidR="00C82808" w:rsidRPr="00DE5E4B" w:rsidRDefault="00C82808" w:rsidP="00C82808">
      <w:pPr>
        <w:pStyle w:val="Nadpis2"/>
      </w:pPr>
      <w:bookmarkStart w:id="52" w:name="_Toc61621373"/>
      <w:bookmarkStart w:id="53" w:name="_Toc62120016"/>
      <w:bookmarkStart w:id="54" w:name="_Toc64356302"/>
      <w:proofErr w:type="gramStart"/>
      <w:r>
        <w:t>6</w:t>
      </w:r>
      <w:r w:rsidRPr="00DE5E4B">
        <w:t>.1  Stavebně</w:t>
      </w:r>
      <w:proofErr w:type="gramEnd"/>
      <w:r w:rsidRPr="00DE5E4B">
        <w:t>-montážní postupy úprav trakčního vedení</w:t>
      </w:r>
      <w:bookmarkEnd w:id="52"/>
      <w:bookmarkEnd w:id="53"/>
      <w:bookmarkEnd w:id="54"/>
    </w:p>
    <w:p w14:paraId="5B2DA460" w14:textId="51324473" w:rsidR="00C82808" w:rsidRDefault="00C82808" w:rsidP="00C82808">
      <w:pPr>
        <w:jc w:val="both"/>
        <w:rPr>
          <w:sz w:val="24"/>
          <w:szCs w:val="24"/>
        </w:rPr>
      </w:pPr>
      <w:r w:rsidRPr="00DE5E4B">
        <w:rPr>
          <w:sz w:val="24"/>
          <w:szCs w:val="24"/>
        </w:rPr>
        <w:t xml:space="preserve">Předpokládá se realizace </w:t>
      </w:r>
      <w:r>
        <w:rPr>
          <w:sz w:val="24"/>
          <w:szCs w:val="24"/>
        </w:rPr>
        <w:t xml:space="preserve">úpravy </w:t>
      </w:r>
      <w:r w:rsidRPr="00DE5E4B">
        <w:rPr>
          <w:sz w:val="24"/>
          <w:szCs w:val="24"/>
        </w:rPr>
        <w:t>trakčního vedení v samostatných krátkodobých (denních) výlukách</w:t>
      </w:r>
      <w:r>
        <w:rPr>
          <w:sz w:val="24"/>
          <w:szCs w:val="24"/>
        </w:rPr>
        <w:t>, p</w:t>
      </w:r>
      <w:r w:rsidRPr="00DE5E4B">
        <w:rPr>
          <w:sz w:val="24"/>
          <w:szCs w:val="24"/>
        </w:rPr>
        <w:t>ředpokládaná délka výluk pro tyto práce je 8 hodin</w:t>
      </w:r>
      <w:r>
        <w:rPr>
          <w:sz w:val="24"/>
          <w:szCs w:val="24"/>
        </w:rPr>
        <w:t>.</w:t>
      </w:r>
      <w:r w:rsidRPr="00DE5E4B">
        <w:rPr>
          <w:sz w:val="24"/>
          <w:szCs w:val="24"/>
        </w:rPr>
        <w:t xml:space="preserve"> Práce na trakční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 vedení budou prováděny obvyklými technologickými postupy, 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ontáž bude prováděna jeřábem z vagónů stavebního vlaku, montáž vodičů pak z plošinových vozů montážního vlaku a ze žebříků. </w:t>
      </w:r>
    </w:p>
    <w:p w14:paraId="1078C4AD" w14:textId="77777777" w:rsidR="007071CA" w:rsidRPr="00DE5E4B" w:rsidRDefault="007071CA" w:rsidP="00C82808">
      <w:pPr>
        <w:jc w:val="both"/>
        <w:rPr>
          <w:sz w:val="24"/>
          <w:szCs w:val="24"/>
        </w:rPr>
      </w:pPr>
    </w:p>
    <w:p w14:paraId="0107E001" w14:textId="77777777" w:rsidR="00C82808" w:rsidRPr="00A922C7" w:rsidRDefault="00C82808" w:rsidP="00C82808">
      <w:pPr>
        <w:pStyle w:val="Nadpis2"/>
      </w:pPr>
      <w:bookmarkStart w:id="55" w:name="_Toc61621374"/>
      <w:bookmarkStart w:id="56" w:name="_Toc62120017"/>
      <w:bookmarkStart w:id="57" w:name="_Toc64356303"/>
      <w:proofErr w:type="gramStart"/>
      <w:r>
        <w:t>6</w:t>
      </w:r>
      <w:r w:rsidRPr="00A922C7">
        <w:t>.2  Montáž</w:t>
      </w:r>
      <w:proofErr w:type="gramEnd"/>
      <w:r w:rsidRPr="00A922C7">
        <w:t xml:space="preserve"> definitivního TV</w:t>
      </w:r>
      <w:bookmarkEnd w:id="55"/>
      <w:bookmarkEnd w:id="56"/>
      <w:bookmarkEnd w:id="57"/>
    </w:p>
    <w:p w14:paraId="262933C6" w14:textId="4199EE4E" w:rsidR="00C82808" w:rsidRDefault="00C82808" w:rsidP="00C82808">
      <w:pPr>
        <w:jc w:val="both"/>
        <w:rPr>
          <w:sz w:val="24"/>
        </w:rPr>
      </w:pPr>
      <w:r w:rsidRPr="00A922C7">
        <w:rPr>
          <w:sz w:val="24"/>
        </w:rPr>
        <w:t>Při technologii montáže je nutné dodržovat podmínky vzorové dokumentace sestavy „J“, TKP a technologické postupy zhotovitele pro montáž trakčních vedení.</w:t>
      </w:r>
    </w:p>
    <w:p w14:paraId="4957F456" w14:textId="77777777" w:rsidR="007071CA" w:rsidRPr="00A922C7" w:rsidRDefault="007071CA" w:rsidP="00C82808">
      <w:pPr>
        <w:jc w:val="both"/>
        <w:rPr>
          <w:sz w:val="24"/>
        </w:rPr>
      </w:pPr>
    </w:p>
    <w:p w14:paraId="15B3E942" w14:textId="77777777" w:rsidR="00C82808" w:rsidRPr="00DE5E4B" w:rsidRDefault="00C82808" w:rsidP="00C82808">
      <w:pPr>
        <w:pStyle w:val="Nadpis2"/>
      </w:pPr>
      <w:bookmarkStart w:id="58" w:name="_Toc61621375"/>
      <w:bookmarkStart w:id="59" w:name="_Toc62120018"/>
      <w:bookmarkStart w:id="60" w:name="_Toc64356304"/>
      <w:proofErr w:type="gramStart"/>
      <w:r>
        <w:t>6</w:t>
      </w:r>
      <w:r w:rsidRPr="00DE5E4B">
        <w:t>.3  Demontáž</w:t>
      </w:r>
      <w:proofErr w:type="gramEnd"/>
      <w:r w:rsidRPr="00DE5E4B">
        <w:t xml:space="preserve"> stávajícího TV</w:t>
      </w:r>
      <w:bookmarkEnd w:id="58"/>
      <w:bookmarkEnd w:id="59"/>
      <w:bookmarkEnd w:id="60"/>
    </w:p>
    <w:p w14:paraId="32083C0B" w14:textId="3D05E471" w:rsidR="00C82808" w:rsidRDefault="00C82808" w:rsidP="00C82808">
      <w:pPr>
        <w:jc w:val="both"/>
        <w:rPr>
          <w:sz w:val="24"/>
        </w:rPr>
      </w:pPr>
      <w:r w:rsidRPr="00DE5E4B">
        <w:rPr>
          <w:sz w:val="24"/>
        </w:rPr>
        <w:t>Veškerý demontovaný a roztříděný materiál TV je určen k likvidaci v rámci stavby. Případný využitelný materiál určený provozovatelem S</w:t>
      </w:r>
      <w:r>
        <w:rPr>
          <w:sz w:val="24"/>
        </w:rPr>
        <w:t>právou železnic</w:t>
      </w:r>
      <w:r w:rsidR="002671C8">
        <w:rPr>
          <w:sz w:val="24"/>
        </w:rPr>
        <w:t xml:space="preserve"> </w:t>
      </w:r>
      <w:proofErr w:type="spellStart"/>
      <w:r w:rsidR="002671C8">
        <w:rPr>
          <w:sz w:val="24"/>
        </w:rPr>
        <w:t>s.o</w:t>
      </w:r>
      <w:proofErr w:type="spellEnd"/>
      <w:r w:rsidR="002671C8">
        <w:rPr>
          <w:sz w:val="24"/>
        </w:rPr>
        <w:t>.</w:t>
      </w:r>
      <w:r w:rsidRPr="00DE5E4B">
        <w:rPr>
          <w:sz w:val="24"/>
        </w:rPr>
        <w:t>, bude předán na místo určené pro další využití.</w:t>
      </w:r>
    </w:p>
    <w:p w14:paraId="2619A223" w14:textId="77777777" w:rsidR="007071CA" w:rsidRPr="00DE5E4B" w:rsidRDefault="007071CA" w:rsidP="00C82808">
      <w:pPr>
        <w:jc w:val="both"/>
        <w:rPr>
          <w:sz w:val="24"/>
        </w:rPr>
      </w:pPr>
    </w:p>
    <w:p w14:paraId="00F43087" w14:textId="77777777" w:rsidR="00C82808" w:rsidRPr="00DE5E4B" w:rsidRDefault="00C82808" w:rsidP="00C82808">
      <w:pPr>
        <w:pStyle w:val="Nadpis2"/>
      </w:pPr>
      <w:bookmarkStart w:id="61" w:name="_Toc61621376"/>
      <w:bookmarkStart w:id="62" w:name="_Toc62120019"/>
      <w:bookmarkStart w:id="63" w:name="_Toc64356305"/>
      <w:proofErr w:type="gramStart"/>
      <w:r>
        <w:t>6</w:t>
      </w:r>
      <w:r w:rsidRPr="00DE5E4B">
        <w:t>.4  Uvádění</w:t>
      </w:r>
      <w:proofErr w:type="gramEnd"/>
      <w:r w:rsidRPr="00DE5E4B">
        <w:t xml:space="preserve"> do provozu</w:t>
      </w:r>
      <w:bookmarkEnd w:id="61"/>
      <w:bookmarkEnd w:id="62"/>
      <w:bookmarkEnd w:id="63"/>
    </w:p>
    <w:p w14:paraId="32F6618E" w14:textId="7E095A3E" w:rsidR="00C82808" w:rsidRDefault="00C82808" w:rsidP="00C82808">
      <w:pPr>
        <w:jc w:val="both"/>
        <w:rPr>
          <w:sz w:val="24"/>
          <w:szCs w:val="24"/>
        </w:rPr>
      </w:pPr>
      <w:r w:rsidRPr="00E9250A">
        <w:rPr>
          <w:b/>
          <w:sz w:val="24"/>
          <w:szCs w:val="24"/>
        </w:rPr>
        <w:t xml:space="preserve">Revize a zkoušky </w:t>
      </w:r>
      <w:r w:rsidRPr="00E9250A">
        <w:rPr>
          <w:sz w:val="24"/>
          <w:szCs w:val="24"/>
        </w:rPr>
        <w:t>trakčních a ostatních zařízení se provedou podle ČSN 34 1530 ed.2, ČSN EN 50122-1 ed.2 a norem uvedených v TKP.</w:t>
      </w:r>
    </w:p>
    <w:p w14:paraId="47D804AB" w14:textId="77777777" w:rsidR="007071CA" w:rsidRPr="00E9250A" w:rsidRDefault="007071CA" w:rsidP="00C82808">
      <w:pPr>
        <w:jc w:val="both"/>
        <w:rPr>
          <w:sz w:val="24"/>
          <w:szCs w:val="24"/>
        </w:rPr>
      </w:pPr>
    </w:p>
    <w:p w14:paraId="310950C1" w14:textId="77777777" w:rsidR="00C82808" w:rsidRPr="00DE5E4B" w:rsidRDefault="00C82808" w:rsidP="00C82808">
      <w:pPr>
        <w:pStyle w:val="Nadpis2"/>
      </w:pPr>
      <w:bookmarkStart w:id="64" w:name="_Toc61621377"/>
      <w:bookmarkStart w:id="65" w:name="_Toc62120020"/>
      <w:bookmarkStart w:id="66" w:name="_Toc64356306"/>
      <w:r>
        <w:t>6</w:t>
      </w:r>
      <w:r w:rsidRPr="00DE5E4B">
        <w:t>.5 Návrh stavebních postupů</w:t>
      </w:r>
      <w:bookmarkEnd w:id="64"/>
      <w:bookmarkEnd w:id="65"/>
      <w:bookmarkEnd w:id="66"/>
    </w:p>
    <w:p w14:paraId="4D6BC05F" w14:textId="77777777" w:rsidR="00C82808" w:rsidRDefault="00C82808" w:rsidP="00C82808">
      <w:pPr>
        <w:jc w:val="both"/>
        <w:rPr>
          <w:b/>
          <w:sz w:val="24"/>
        </w:rPr>
      </w:pPr>
      <w:r w:rsidRPr="00DE5E4B">
        <w:rPr>
          <w:b/>
          <w:sz w:val="24"/>
        </w:rPr>
        <w:t>Uvedené napěťové výluky jsou jen návrh projektanta na základě projekčních podkladů, při zajišťování napěťových výluk pro realizaci je nutné vždy přihlédnout k naplánovanému rozsahu práce dodavatele a vždy na místě ověřit aktuální skutečné vzdálenosti od živých částí trakčního vedení pod napětím.</w:t>
      </w:r>
    </w:p>
    <w:p w14:paraId="39BFE88F" w14:textId="77777777" w:rsidR="00BF5208" w:rsidRDefault="00BF5208" w:rsidP="00C82808">
      <w:pPr>
        <w:jc w:val="both"/>
        <w:rPr>
          <w:b/>
          <w:sz w:val="24"/>
        </w:rPr>
      </w:pPr>
    </w:p>
    <w:p w14:paraId="12498CF2" w14:textId="77777777" w:rsidR="00C82808" w:rsidRPr="002C0478" w:rsidRDefault="00C82808" w:rsidP="00C82808">
      <w:pPr>
        <w:jc w:val="both"/>
        <w:rPr>
          <w:b/>
          <w:caps/>
          <w:szCs w:val="22"/>
        </w:rPr>
      </w:pPr>
      <w:r w:rsidRPr="002C0478">
        <w:rPr>
          <w:b/>
          <w:caps/>
          <w:szCs w:val="22"/>
        </w:rPr>
        <w:t>ÚPRAVA ZESILOVACÍHO VEDENÍ</w:t>
      </w:r>
    </w:p>
    <w:p w14:paraId="2AB0CEF8" w14:textId="77777777" w:rsidR="0002340A" w:rsidRPr="00AA1F78" w:rsidRDefault="0002340A" w:rsidP="0002340A">
      <w:pPr>
        <w:jc w:val="both"/>
        <w:rPr>
          <w:sz w:val="24"/>
          <w:szCs w:val="24"/>
        </w:rPr>
      </w:pPr>
      <w:r w:rsidRPr="00AA1F78">
        <w:rPr>
          <w:sz w:val="24"/>
          <w:szCs w:val="24"/>
        </w:rPr>
        <w:t>Uvedené výluky je možné vhodně upravovat nebo spojovat podle potřeby dodavatele.</w:t>
      </w:r>
    </w:p>
    <w:p w14:paraId="5C00DCA1" w14:textId="77777777" w:rsidR="00C82808" w:rsidRPr="002C0478" w:rsidRDefault="00C82808" w:rsidP="00C82808">
      <w:pPr>
        <w:jc w:val="both"/>
        <w:rPr>
          <w:b/>
          <w:caps/>
          <w:szCs w:val="22"/>
        </w:rPr>
      </w:pPr>
    </w:p>
    <w:p w14:paraId="281CF2D8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 xml:space="preserve">1.  Vyloučená kolej č. </w:t>
      </w:r>
      <w:proofErr w:type="gramStart"/>
      <w:r w:rsidRPr="002C0478">
        <w:rPr>
          <w:sz w:val="24"/>
          <w:szCs w:val="24"/>
        </w:rPr>
        <w:t>1  a</w:t>
      </w:r>
      <w:proofErr w:type="gramEnd"/>
      <w:r w:rsidRPr="002C0478">
        <w:rPr>
          <w:sz w:val="24"/>
          <w:szCs w:val="24"/>
        </w:rPr>
        <w:t xml:space="preserve">  Vypnutí trakčního vedení v koleji č. 1</w:t>
      </w:r>
    </w:p>
    <w:p w14:paraId="799D0096" w14:textId="77777777" w:rsidR="00C82808" w:rsidRPr="002C047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172C7C92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 xml:space="preserve">2.  Vyloučená kolej č. </w:t>
      </w:r>
      <w:proofErr w:type="gramStart"/>
      <w:r w:rsidRPr="002C0478">
        <w:rPr>
          <w:sz w:val="24"/>
          <w:szCs w:val="24"/>
        </w:rPr>
        <w:t>2  a</w:t>
      </w:r>
      <w:proofErr w:type="gramEnd"/>
      <w:r w:rsidRPr="002C0478">
        <w:rPr>
          <w:sz w:val="24"/>
          <w:szCs w:val="24"/>
        </w:rPr>
        <w:t xml:space="preserve">  Vypnutí trakčního vedení v koleji č. 2</w:t>
      </w:r>
    </w:p>
    <w:p w14:paraId="20B3AD1B" w14:textId="4C041A9E" w:rsidR="00C8280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547DF5DD" w14:textId="1C37A8AB" w:rsidR="007071CA" w:rsidRDefault="007071CA" w:rsidP="00C82808">
      <w:pPr>
        <w:ind w:firstLine="720"/>
        <w:rPr>
          <w:sz w:val="24"/>
          <w:szCs w:val="24"/>
        </w:rPr>
      </w:pPr>
    </w:p>
    <w:p w14:paraId="1E4E78F9" w14:textId="5D3A5D12" w:rsidR="007071CA" w:rsidRDefault="007071CA" w:rsidP="00C82808">
      <w:pPr>
        <w:ind w:firstLine="720"/>
        <w:rPr>
          <w:sz w:val="24"/>
          <w:szCs w:val="24"/>
        </w:rPr>
      </w:pPr>
    </w:p>
    <w:p w14:paraId="6A949649" w14:textId="536FF8B4" w:rsidR="007071CA" w:rsidRDefault="007071CA" w:rsidP="00C82808">
      <w:pPr>
        <w:ind w:firstLine="720"/>
        <w:rPr>
          <w:sz w:val="24"/>
          <w:szCs w:val="24"/>
        </w:rPr>
      </w:pPr>
    </w:p>
    <w:p w14:paraId="09A4F2E0" w14:textId="77777777" w:rsidR="007071CA" w:rsidRPr="002C0478" w:rsidRDefault="007071CA" w:rsidP="00C82808">
      <w:pPr>
        <w:ind w:firstLine="720"/>
        <w:rPr>
          <w:sz w:val="24"/>
          <w:szCs w:val="24"/>
        </w:rPr>
      </w:pPr>
    </w:p>
    <w:p w14:paraId="2804A3E6" w14:textId="77777777" w:rsidR="00C82808" w:rsidRPr="00136E04" w:rsidRDefault="00C82808" w:rsidP="00C82808">
      <w:pPr>
        <w:pStyle w:val="Nadpis1"/>
      </w:pPr>
      <w:bookmarkStart w:id="67" w:name="_Toc61621378"/>
      <w:bookmarkStart w:id="68" w:name="_Toc62120021"/>
      <w:bookmarkStart w:id="69" w:name="_Toc64356307"/>
      <w:proofErr w:type="gramStart"/>
      <w:r>
        <w:t>7</w:t>
      </w:r>
      <w:r w:rsidRPr="00136E04">
        <w:t>.0  OCHRANNÁ</w:t>
      </w:r>
      <w:proofErr w:type="gramEnd"/>
      <w:r w:rsidRPr="00136E04">
        <w:t xml:space="preserve"> A BEZPEČNOSTNÍ OPATŘENÍ</w:t>
      </w:r>
      <w:bookmarkEnd w:id="67"/>
      <w:bookmarkEnd w:id="68"/>
      <w:bookmarkEnd w:id="69"/>
    </w:p>
    <w:p w14:paraId="55108625" w14:textId="77777777" w:rsidR="00C82808" w:rsidRPr="00136E04" w:rsidRDefault="00C82808" w:rsidP="00C82808">
      <w:pPr>
        <w:pStyle w:val="Nadpis2"/>
        <w:numPr>
          <w:ilvl w:val="1"/>
          <w:numId w:val="36"/>
        </w:numPr>
      </w:pPr>
      <w:r w:rsidRPr="00136E04">
        <w:t xml:space="preserve"> </w:t>
      </w:r>
      <w:bookmarkStart w:id="70" w:name="_Toc61621379"/>
      <w:bookmarkStart w:id="71" w:name="_Toc62120022"/>
      <w:bookmarkStart w:id="72" w:name="_Toc64356308"/>
      <w:r w:rsidRPr="00136E04">
        <w:t>Bezpečnostní tabulky</w:t>
      </w:r>
      <w:bookmarkEnd w:id="70"/>
      <w:bookmarkEnd w:id="71"/>
      <w:bookmarkEnd w:id="72"/>
    </w:p>
    <w:p w14:paraId="75F7203D" w14:textId="77777777" w:rsidR="00C82808" w:rsidRPr="00286913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249CCC75" w14:textId="77777777" w:rsidR="00C82808" w:rsidRPr="00136E04" w:rsidRDefault="00C82808" w:rsidP="00C82808">
      <w:pPr>
        <w:pStyle w:val="Nadpis2"/>
      </w:pPr>
      <w:bookmarkStart w:id="73" w:name="_Toc61621380"/>
      <w:bookmarkStart w:id="74" w:name="_Toc62120023"/>
      <w:bookmarkStart w:id="75" w:name="_Toc64356309"/>
      <w:proofErr w:type="gramStart"/>
      <w:r>
        <w:lastRenderedPageBreak/>
        <w:t>7</w:t>
      </w:r>
      <w:r w:rsidRPr="00136E04">
        <w:t>.</w:t>
      </w:r>
      <w:r>
        <w:t>2</w:t>
      </w:r>
      <w:r w:rsidRPr="00136E04">
        <w:t xml:space="preserve">  Návěstidla</w:t>
      </w:r>
      <w:proofErr w:type="gramEnd"/>
      <w:r w:rsidRPr="00136E04">
        <w:t xml:space="preserve"> pro elektrický provoz dle předpisu </w:t>
      </w:r>
      <w:r>
        <w:t xml:space="preserve">SŽDC </w:t>
      </w:r>
      <w:r w:rsidRPr="00136E04">
        <w:t>D1</w:t>
      </w:r>
      <w:bookmarkEnd w:id="73"/>
      <w:bookmarkEnd w:id="74"/>
      <w:bookmarkEnd w:id="75"/>
    </w:p>
    <w:p w14:paraId="2E5C6791" w14:textId="77777777" w:rsidR="00C82808" w:rsidRPr="002C1DFC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29FDEEF5" w14:textId="77777777" w:rsidR="00C82808" w:rsidRPr="00136E04" w:rsidRDefault="00C82808" w:rsidP="00C82808">
      <w:pPr>
        <w:pStyle w:val="Nadpis2"/>
      </w:pPr>
      <w:bookmarkStart w:id="76" w:name="_Toc61621381"/>
      <w:bookmarkStart w:id="77" w:name="_Toc62120024"/>
      <w:bookmarkStart w:id="78" w:name="_Toc64356310"/>
      <w:proofErr w:type="gramStart"/>
      <w:r>
        <w:t>7</w:t>
      </w:r>
      <w:r w:rsidRPr="00136E04">
        <w:t>.</w:t>
      </w:r>
      <w:r>
        <w:t>3</w:t>
      </w:r>
      <w:r w:rsidRPr="00136E04">
        <w:t xml:space="preserve">  Nátěry</w:t>
      </w:r>
      <w:bookmarkEnd w:id="76"/>
      <w:bookmarkEnd w:id="77"/>
      <w:bookmarkEnd w:id="78"/>
      <w:proofErr w:type="gramEnd"/>
    </w:p>
    <w:p w14:paraId="0DC4F936" w14:textId="77777777" w:rsidR="00C82808" w:rsidRDefault="00C82808" w:rsidP="00C82808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589935AD" w14:textId="77777777" w:rsidR="00456F39" w:rsidRPr="00136E04" w:rsidRDefault="00C82808" w:rsidP="005B1019">
      <w:pPr>
        <w:pStyle w:val="Nadpis2"/>
      </w:pPr>
      <w:bookmarkStart w:id="79" w:name="_Toc64356311"/>
      <w:proofErr w:type="gramStart"/>
      <w:r>
        <w:t>7.4</w:t>
      </w:r>
      <w:r w:rsidR="00C0109C" w:rsidRPr="00136E04">
        <w:t xml:space="preserve">  Ukolejnění</w:t>
      </w:r>
      <w:proofErr w:type="gramEnd"/>
      <w:r w:rsidR="00C0109C" w:rsidRPr="00136E04">
        <w:t xml:space="preserve"> podpěr TV a ocelových konstrukcí</w:t>
      </w:r>
      <w:bookmarkEnd w:id="79"/>
    </w:p>
    <w:p w14:paraId="08AD1C5F" w14:textId="77777777" w:rsidR="00C82808" w:rsidRDefault="00C0109C" w:rsidP="0044264B">
      <w:pPr>
        <w:jc w:val="both"/>
        <w:rPr>
          <w:color w:val="FF0000"/>
          <w:sz w:val="24"/>
        </w:rPr>
      </w:pPr>
      <w:r w:rsidRPr="00136E04">
        <w:rPr>
          <w:sz w:val="24"/>
        </w:rPr>
        <w:t xml:space="preserve">Ukolejnění </w:t>
      </w:r>
      <w:r w:rsidR="00D73930" w:rsidRPr="00136E04">
        <w:rPr>
          <w:sz w:val="24"/>
        </w:rPr>
        <w:t>nov</w:t>
      </w:r>
      <w:r w:rsidR="00C82808">
        <w:rPr>
          <w:sz w:val="24"/>
        </w:rPr>
        <w:t>é návěstní lávky je součástí dodávky konstrukce. P</w:t>
      </w:r>
      <w:r w:rsidRPr="00136E04">
        <w:rPr>
          <w:sz w:val="24"/>
        </w:rPr>
        <w:t>rovede podle ČSN 34 1500</w:t>
      </w:r>
      <w:r w:rsidR="005D055E" w:rsidRPr="00136E04">
        <w:rPr>
          <w:sz w:val="24"/>
        </w:rPr>
        <w:t xml:space="preserve"> ed.2</w:t>
      </w:r>
      <w:r w:rsidRPr="00136E04">
        <w:rPr>
          <w:sz w:val="24"/>
        </w:rPr>
        <w:t xml:space="preserve">, ČSN EN 50 122-1 </w:t>
      </w:r>
      <w:r w:rsidR="005D055E" w:rsidRPr="00136E04">
        <w:rPr>
          <w:sz w:val="24"/>
        </w:rPr>
        <w:t xml:space="preserve">ed.2 </w:t>
      </w:r>
      <w:r w:rsidRPr="00136E04">
        <w:rPr>
          <w:sz w:val="24"/>
        </w:rPr>
        <w:t>a typových sestavení vzorové dokumentace sestavy "J</w:t>
      </w:r>
      <w:r w:rsidR="00C82808">
        <w:rPr>
          <w:sz w:val="24"/>
        </w:rPr>
        <w:t>“</w:t>
      </w:r>
      <w:r w:rsidR="00562BB8">
        <w:rPr>
          <w:sz w:val="24"/>
        </w:rPr>
        <w:t xml:space="preserve"> podle pokynů správce zabezpečovacího zařízení.</w:t>
      </w:r>
    </w:p>
    <w:p w14:paraId="742618EA" w14:textId="77777777" w:rsidR="00456F39" w:rsidRPr="00136E04" w:rsidRDefault="005262C0" w:rsidP="005B1019">
      <w:pPr>
        <w:pStyle w:val="Nadpis2"/>
      </w:pPr>
      <w:bookmarkStart w:id="80" w:name="_Toc64356312"/>
      <w:proofErr w:type="gramStart"/>
      <w:r>
        <w:t>7.5</w:t>
      </w:r>
      <w:r w:rsidR="00C0109C" w:rsidRPr="00136E04">
        <w:t xml:space="preserve">  Ochrana</w:t>
      </w:r>
      <w:proofErr w:type="gramEnd"/>
      <w:r w:rsidR="00C0109C" w:rsidRPr="00136E04">
        <w:t xml:space="preserve"> proti atmosférickému přepětí</w:t>
      </w:r>
      <w:bookmarkEnd w:id="80"/>
    </w:p>
    <w:p w14:paraId="7496AFE2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53E65A13" w14:textId="77777777" w:rsidR="00456F39" w:rsidRPr="00136E04" w:rsidRDefault="004023BE" w:rsidP="005B1019">
      <w:pPr>
        <w:pStyle w:val="Nadpis2"/>
      </w:pPr>
      <w:bookmarkStart w:id="81" w:name="_Toc64356313"/>
      <w:proofErr w:type="gramStart"/>
      <w:r w:rsidRPr="00136E04">
        <w:t>6</w:t>
      </w:r>
      <w:r w:rsidR="00C0109C" w:rsidRPr="00136E04">
        <w:t>.3  Bezpečnostní</w:t>
      </w:r>
      <w:proofErr w:type="gramEnd"/>
      <w:r w:rsidR="00C0109C" w:rsidRPr="00136E04">
        <w:t xml:space="preserve"> tabulky</w:t>
      </w:r>
      <w:bookmarkEnd w:id="81"/>
    </w:p>
    <w:p w14:paraId="471A772C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5D5ABEE1" w14:textId="77777777" w:rsidR="005262C0" w:rsidRPr="00136E04" w:rsidRDefault="005262C0" w:rsidP="005262C0">
      <w:pPr>
        <w:pStyle w:val="Nadpis1"/>
      </w:pPr>
      <w:bookmarkStart w:id="82" w:name="_Toc499544140"/>
      <w:bookmarkStart w:id="83" w:name="_Toc61621382"/>
      <w:bookmarkStart w:id="84" w:name="_Toc62120025"/>
      <w:bookmarkStart w:id="85" w:name="_Toc64356314"/>
      <w:r>
        <w:t>8</w:t>
      </w:r>
      <w:r w:rsidRPr="00136E04">
        <w:t>.0 Ochrana a bezpečnost při práci</w:t>
      </w:r>
      <w:bookmarkEnd w:id="82"/>
      <w:bookmarkEnd w:id="83"/>
      <w:bookmarkEnd w:id="84"/>
      <w:bookmarkEnd w:id="85"/>
    </w:p>
    <w:p w14:paraId="7D59AD27" w14:textId="77777777" w:rsidR="005262C0" w:rsidRPr="00F53529" w:rsidRDefault="005262C0" w:rsidP="005262C0">
      <w:pPr>
        <w:jc w:val="both"/>
        <w:rPr>
          <w:szCs w:val="22"/>
        </w:rPr>
      </w:pPr>
      <w:r w:rsidRPr="00F53529">
        <w:rPr>
          <w:szCs w:val="22"/>
        </w:rPr>
        <w:t>Zhotovitel stavebního objektu trakčního vedení musí při práci dodržovat všechny platné normy a předpisy, týkající se bezpečnosti a ochrany zdraví při práci, tj. Stavební zákon 183/2006 Sb. a jeho prováděcí předpisy, Zákoník práce 262/2006 Sb., Zákon upravující požadavky bezpečnosti a ochrany zdraví při práci 309/2006 Sb. a nařízení vlády o bližších minimálních požadavcích na bezpečnost a ochranu zdraví při práci na staveništích 591/2006 Sb., Vyhlášku, kterou se stanoví základní požadavky k zajištění bezpečnosti práce a technických zařízení č. 48/82 Sb., Nařízení vlády o bližších požadavcích na bezpečnost a ochranu zdraví při práci na pracovištích s nebezpečím pádu z výšky nebo do hloubky č. 362/2005 Sb. a Nařízení vlády č. 272/2011 sb. o ochraně zdraví před nepříznivými účinky hluku a vibrací.</w:t>
      </w:r>
    </w:p>
    <w:p w14:paraId="7454B530" w14:textId="77777777" w:rsidR="005262C0" w:rsidRPr="00F53529" w:rsidRDefault="005262C0" w:rsidP="005262C0">
      <w:pPr>
        <w:jc w:val="both"/>
        <w:rPr>
          <w:szCs w:val="22"/>
        </w:rPr>
      </w:pPr>
      <w:r w:rsidRPr="00F53529">
        <w:rPr>
          <w:szCs w:val="22"/>
        </w:rPr>
        <w:t xml:space="preserve">Při práci v ochranném pásmu dráhy musí navíc dodržet Předpis o bezpečnosti a ochraně zdraví při práci </w:t>
      </w:r>
      <w:r>
        <w:rPr>
          <w:szCs w:val="22"/>
        </w:rPr>
        <w:t xml:space="preserve">SŽDC </w:t>
      </w:r>
      <w:r w:rsidRPr="00F53529">
        <w:rPr>
          <w:szCs w:val="22"/>
        </w:rPr>
        <w:t>Bp1, zvláště část třetí "Základní povinnosti cizích právních subjektů při práci v prostorách SŽDC". Při výstavbě trakčního vedení je nutné řídit se zejména ustanoveními části čtvrté "Bezpečnost a ochrana zdraví při práci v provozované železniční dopravní cestě" a části páté "Podmínky pro bezpečnou práci při odborných pracích" tohoto předpisu.</w:t>
      </w:r>
    </w:p>
    <w:p w14:paraId="70B7F4BC" w14:textId="77777777" w:rsidR="005262C0" w:rsidRPr="00F53529" w:rsidRDefault="005262C0" w:rsidP="005262C0">
      <w:pPr>
        <w:jc w:val="both"/>
        <w:rPr>
          <w:szCs w:val="22"/>
        </w:rPr>
      </w:pPr>
      <w:r w:rsidRPr="00F53529">
        <w:rPr>
          <w:szCs w:val="22"/>
        </w:rPr>
        <w:t xml:space="preserve">Zhotovitel musí provádět obsluhu a práci na elektrických zařízeních podle ČSN EN 50110-1, národního dodatku ČSN EN 50110-2 a navazující TNŽ 343109, upřesňující činnost na trakčním vedení a v jeho blízkosti na železničních drahách. V místech křížení s nadzemním vedením </w:t>
      </w:r>
      <w:proofErr w:type="spellStart"/>
      <w:r w:rsidRPr="00F53529">
        <w:rPr>
          <w:szCs w:val="22"/>
        </w:rPr>
        <w:t>vn</w:t>
      </w:r>
      <w:proofErr w:type="spellEnd"/>
      <w:r w:rsidRPr="00F53529">
        <w:rPr>
          <w:szCs w:val="22"/>
        </w:rPr>
        <w:t xml:space="preserve"> a </w:t>
      </w:r>
      <w:proofErr w:type="spellStart"/>
      <w:r w:rsidRPr="00F53529">
        <w:rPr>
          <w:szCs w:val="22"/>
        </w:rPr>
        <w:t>vvn</w:t>
      </w:r>
      <w:proofErr w:type="spellEnd"/>
      <w:r w:rsidRPr="00F53529">
        <w:rPr>
          <w:szCs w:val="22"/>
        </w:rPr>
        <w:t xml:space="preserve"> je nutné navíc dodržet ustanovení ČSN EN 50341-1 ed.2.</w:t>
      </w:r>
    </w:p>
    <w:p w14:paraId="5C34CBB4" w14:textId="77777777" w:rsidR="005262C0" w:rsidRDefault="005262C0" w:rsidP="005262C0">
      <w:pPr>
        <w:jc w:val="both"/>
        <w:rPr>
          <w:szCs w:val="22"/>
        </w:rPr>
      </w:pPr>
      <w:r w:rsidRPr="00F53529">
        <w:rPr>
          <w:szCs w:val="22"/>
        </w:rPr>
        <w:t>Zhotovitel se musí při práci a pobytu na stavbě řídit zákonem č. 133/1985 Sb. o požární ochraně a navazujícími ustanoveními</w:t>
      </w:r>
      <w:r w:rsidRPr="00B709A4">
        <w:rPr>
          <w:szCs w:val="22"/>
        </w:rPr>
        <w:t xml:space="preserve"> vyhlášky č.246/2001 Sb., o požární prevenci, ve znění pozdějších předpisů a vyhlášky č. 23/2008 Sb., o technických podmínkách požární ochrany staveb, ve znění pozdějších předpisů v rozsahu nezbytném pro zajištění její požární bezpečnosti. Zhotovitel zajistí, že po dobu výstavby nebude zvýšeno nebezpečí požáru a budou dodržována stanovená požárně bezpečnostní </w:t>
      </w:r>
      <w:proofErr w:type="gramStart"/>
      <w:r w:rsidRPr="00B709A4">
        <w:rPr>
          <w:szCs w:val="22"/>
        </w:rPr>
        <w:t>opatření</w:t>
      </w:r>
      <w:proofErr w:type="gramEnd"/>
      <w:r w:rsidRPr="00B709A4">
        <w:rPr>
          <w:szCs w:val="22"/>
        </w:rPr>
        <w:t xml:space="preserve"> tj. zabezpečí stanovení a dodržování podmínek požární bezpečnosti při provozované činnosti ve smyslu §15 vyhlášky 246/2001 Sb., ve znění pozdějších předpisů</w:t>
      </w:r>
      <w:r>
        <w:rPr>
          <w:szCs w:val="22"/>
        </w:rPr>
        <w:t xml:space="preserve">. Zhotovitel </w:t>
      </w:r>
      <w:r w:rsidRPr="00F53529">
        <w:rPr>
          <w:szCs w:val="22"/>
        </w:rPr>
        <w:t>musí dodržovat předpis SŽDC Ob14 (Předpis pro stanovení organizace zabezpečení požární ochrany Správy železniční dopravní cesty, státní organizace).</w:t>
      </w:r>
    </w:p>
    <w:p w14:paraId="70779885" w14:textId="77777777" w:rsidR="005262C0" w:rsidRPr="00F53529" w:rsidRDefault="005262C0" w:rsidP="005262C0">
      <w:pPr>
        <w:jc w:val="both"/>
        <w:rPr>
          <w:szCs w:val="22"/>
        </w:rPr>
      </w:pPr>
      <w:r w:rsidRPr="00F53529">
        <w:rPr>
          <w:szCs w:val="22"/>
        </w:rPr>
        <w:t>Zhotovitel musí dodržet všechny podmínky uvedené v příslušných kapitolách Technických kvalitativních podmínek staveb státních drah (TKP).</w:t>
      </w:r>
    </w:p>
    <w:p w14:paraId="3723283E" w14:textId="77777777" w:rsidR="005262C0" w:rsidRPr="006F4833" w:rsidRDefault="005262C0" w:rsidP="005262C0">
      <w:pPr>
        <w:pStyle w:val="Nadpis1"/>
      </w:pPr>
      <w:bookmarkStart w:id="86" w:name="_Toc61621383"/>
      <w:bookmarkStart w:id="87" w:name="_Toc62120026"/>
      <w:bookmarkStart w:id="88" w:name="_Toc64356315"/>
      <w:r>
        <w:lastRenderedPageBreak/>
        <w:t>9</w:t>
      </w:r>
      <w:r w:rsidRPr="006F4833">
        <w:t>.0 Různé</w:t>
      </w:r>
      <w:bookmarkEnd w:id="86"/>
      <w:bookmarkEnd w:id="87"/>
      <w:bookmarkEnd w:id="88"/>
    </w:p>
    <w:p w14:paraId="5ACBAB2A" w14:textId="77777777" w:rsidR="005262C0" w:rsidRPr="006F4833" w:rsidRDefault="005262C0" w:rsidP="005262C0">
      <w:pPr>
        <w:pStyle w:val="Nadpis2"/>
      </w:pPr>
      <w:bookmarkStart w:id="89" w:name="_Toc61621384"/>
      <w:bookmarkStart w:id="90" w:name="_Toc62120027"/>
      <w:bookmarkStart w:id="91" w:name="_Toc64356316"/>
      <w:r>
        <w:t>9</w:t>
      </w:r>
      <w:r w:rsidRPr="006F4833">
        <w:t>.1 Způsob uvádění UTZ/E do provozu</w:t>
      </w:r>
      <w:bookmarkEnd w:id="89"/>
      <w:bookmarkEnd w:id="90"/>
      <w:bookmarkEnd w:id="91"/>
    </w:p>
    <w:p w14:paraId="52723F87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a/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realizace odborným dodavatelem</w:t>
      </w:r>
      <w:r w:rsidRPr="006F4833">
        <w:rPr>
          <w:rFonts w:ascii="Times New Roman" w:hAnsi="Times New Roman" w:cs="Times New Roman"/>
          <w:bCs/>
          <w:sz w:val="24"/>
          <w:szCs w:val="24"/>
        </w:rPr>
        <w:t>, provedení funkčních zkoušek, předložení dokladů a opravené projektové dokumentace dle skutečného provedení.</w:t>
      </w:r>
    </w:p>
    <w:p w14:paraId="03FBECA6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b/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výchozí revize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(revizní technik s příslušným oprávněním vydaným DÚ).</w:t>
      </w:r>
    </w:p>
    <w:p w14:paraId="72B23E2B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c/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Technické prohlídky a zkoušky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právnickou osobou, oprávněnou vydávat protokoly UTZ/E na základě pověření, které vydává Ministerstvo dopravy.</w:t>
      </w:r>
    </w:p>
    <w:p w14:paraId="3B07FBB8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d/ vydání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Průkazu způsobilosti.</w:t>
      </w:r>
    </w:p>
    <w:p w14:paraId="3C50A4AD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e/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přejímací řízení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objednatele.</w:t>
      </w:r>
    </w:p>
    <w:p w14:paraId="7CCA4AB9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f/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uvedení do provozu – </w:t>
      </w:r>
      <w:proofErr w:type="spellStart"/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Technicko</w:t>
      </w:r>
      <w:proofErr w:type="spellEnd"/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 bezpečnostní zkouška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Drážního úřadu, stavebníka (investora) a provozovatele zařízení, obvykle spojená s kontrolní prohlídkou před uvedením do zkušebního provozu.</w:t>
      </w:r>
    </w:p>
    <w:p w14:paraId="77A19F27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>g/ zkušební provoz v délce určené Drážním úřadem.</w:t>
      </w:r>
    </w:p>
    <w:p w14:paraId="0E63966E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h/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vyhodnocení zkušebního provozu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provozovatelem zařízení.</w:t>
      </w:r>
    </w:p>
    <w:p w14:paraId="1D8EA5CC" w14:textId="77777777" w:rsidR="005262C0" w:rsidRPr="004F5934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i/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kolaudace stavby</w:t>
      </w:r>
      <w:r>
        <w:rPr>
          <w:rFonts w:ascii="Times New Roman" w:hAnsi="Times New Roman" w:cs="Times New Roman"/>
          <w:bCs/>
          <w:sz w:val="24"/>
          <w:szCs w:val="24"/>
        </w:rPr>
        <w:t xml:space="preserve"> Drážním úřadem </w:t>
      </w:r>
    </w:p>
    <w:p w14:paraId="047B408E" w14:textId="77777777" w:rsidR="005262C0" w:rsidRPr="006F4833" w:rsidRDefault="005262C0" w:rsidP="005262C0">
      <w:pPr>
        <w:pStyle w:val="Nadpis2"/>
      </w:pPr>
      <w:bookmarkStart w:id="92" w:name="_Toc61621385"/>
      <w:bookmarkStart w:id="93" w:name="_Toc62120028"/>
      <w:bookmarkStart w:id="94" w:name="_Toc64356317"/>
      <w:r>
        <w:t>9</w:t>
      </w:r>
      <w:r w:rsidRPr="006F4833">
        <w:t>.2 Určení vnějších vlivů</w:t>
      </w:r>
      <w:bookmarkEnd w:id="92"/>
      <w:bookmarkEnd w:id="93"/>
      <w:bookmarkEnd w:id="94"/>
    </w:p>
    <w:p w14:paraId="076838F8" w14:textId="77777777" w:rsidR="005262C0" w:rsidRPr="006F4833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Podmínky prostředí pro pevná elektrická zařízení stanovuje ČSN EN 50125-2, dle ČSN 332000-5-51 ed.3 se z hlediska nebezpečí úrazu elektrickým proudem jedná o venkovní prostor nebezpečný</w:t>
      </w:r>
      <w:r w:rsidRPr="006F4833">
        <w:rPr>
          <w:szCs w:val="22"/>
        </w:rPr>
        <w:t>.</w:t>
      </w:r>
    </w:p>
    <w:p w14:paraId="445E2A1B" w14:textId="77777777" w:rsidR="005262C0" w:rsidRPr="006F4833" w:rsidRDefault="005262C0" w:rsidP="005262C0">
      <w:pPr>
        <w:pStyle w:val="Nadpis2"/>
      </w:pPr>
      <w:bookmarkStart w:id="95" w:name="_Toc61621386"/>
      <w:bookmarkStart w:id="96" w:name="_Toc62120029"/>
      <w:bookmarkStart w:id="97" w:name="_Toc64356318"/>
      <w:r>
        <w:t>9</w:t>
      </w:r>
      <w:r w:rsidRPr="006F4833">
        <w:t>.3 Odpadové hospodářství</w:t>
      </w:r>
      <w:bookmarkEnd w:id="95"/>
      <w:bookmarkEnd w:id="96"/>
      <w:bookmarkEnd w:id="97"/>
    </w:p>
    <w:p w14:paraId="6B82277F" w14:textId="77777777" w:rsidR="005262C0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Odpady budou likvidovány dle platné legislativy</w:t>
      </w:r>
    </w:p>
    <w:p w14:paraId="7B321D3B" w14:textId="77777777" w:rsidR="005262C0" w:rsidRPr="00684255" w:rsidRDefault="005262C0" w:rsidP="005262C0">
      <w:pPr>
        <w:pStyle w:val="Nadpis2"/>
      </w:pPr>
      <w:bookmarkStart w:id="98" w:name="_Toc61621387"/>
      <w:bookmarkStart w:id="99" w:name="_Toc62120030"/>
      <w:bookmarkStart w:id="100" w:name="_Toc64356319"/>
      <w:r>
        <w:t>9</w:t>
      </w:r>
      <w:r w:rsidRPr="00684255">
        <w:t>.</w:t>
      </w:r>
      <w:r>
        <w:t>4</w:t>
      </w:r>
      <w:r w:rsidRPr="00684255">
        <w:t xml:space="preserve"> Doklady</w:t>
      </w:r>
      <w:bookmarkEnd w:id="98"/>
      <w:bookmarkEnd w:id="99"/>
      <w:bookmarkEnd w:id="100"/>
    </w:p>
    <w:p w14:paraId="4C98686E" w14:textId="77777777" w:rsidR="005262C0" w:rsidRDefault="005262C0" w:rsidP="005262C0">
      <w:pPr>
        <w:rPr>
          <w:sz w:val="24"/>
          <w:szCs w:val="24"/>
        </w:rPr>
      </w:pPr>
      <w:r w:rsidRPr="00684255">
        <w:rPr>
          <w:sz w:val="24"/>
          <w:szCs w:val="24"/>
        </w:rPr>
        <w:t>Zápisy z jednání</w:t>
      </w:r>
      <w:r>
        <w:rPr>
          <w:sz w:val="24"/>
          <w:szCs w:val="24"/>
        </w:rPr>
        <w:t xml:space="preserve"> jsou doloženy v souhrnné části dokumentace.</w:t>
      </w:r>
    </w:p>
    <w:p w14:paraId="0DEB1184" w14:textId="77777777" w:rsidR="005262C0" w:rsidRDefault="005262C0" w:rsidP="005262C0">
      <w:pPr>
        <w:jc w:val="both"/>
        <w:rPr>
          <w:color w:val="FF0000"/>
        </w:rPr>
      </w:pPr>
    </w:p>
    <w:p w14:paraId="0E0BA85B" w14:textId="77777777" w:rsidR="005262C0" w:rsidRDefault="005262C0" w:rsidP="005262C0">
      <w:pPr>
        <w:jc w:val="both"/>
        <w:rPr>
          <w:color w:val="FF0000"/>
        </w:rPr>
      </w:pPr>
    </w:p>
    <w:p w14:paraId="704675C2" w14:textId="77777777" w:rsidR="00FF6DCC" w:rsidRDefault="00FF6DCC" w:rsidP="005262C0">
      <w:pPr>
        <w:jc w:val="both"/>
        <w:rPr>
          <w:color w:val="FF0000"/>
        </w:rPr>
      </w:pPr>
    </w:p>
    <w:p w14:paraId="5A209759" w14:textId="77777777" w:rsidR="00FF6DCC" w:rsidRDefault="00FF6DCC" w:rsidP="005262C0">
      <w:pPr>
        <w:jc w:val="both"/>
        <w:rPr>
          <w:color w:val="FF0000"/>
        </w:rPr>
      </w:pPr>
    </w:p>
    <w:p w14:paraId="2F5B258C" w14:textId="77777777" w:rsidR="00FD0551" w:rsidRDefault="00FD0551" w:rsidP="005262C0">
      <w:pPr>
        <w:jc w:val="both"/>
        <w:rPr>
          <w:color w:val="FF0000"/>
        </w:rPr>
      </w:pPr>
    </w:p>
    <w:p w14:paraId="56BC3B22" w14:textId="77777777" w:rsidR="005262C0" w:rsidRPr="00673236" w:rsidRDefault="005262C0" w:rsidP="005262C0">
      <w:pPr>
        <w:jc w:val="both"/>
        <w:rPr>
          <w:sz w:val="24"/>
        </w:rPr>
      </w:pPr>
      <w:r>
        <w:t>Leden</w:t>
      </w:r>
      <w:r w:rsidRPr="00673236">
        <w:t xml:space="preserve"> 202</w:t>
      </w:r>
      <w:r>
        <w:t>1</w:t>
      </w:r>
      <w:r w:rsidRPr="00673236">
        <w:tab/>
      </w:r>
      <w:r w:rsidRPr="00673236">
        <w:tab/>
      </w:r>
      <w:r w:rsidRPr="00673236">
        <w:tab/>
      </w:r>
      <w:r w:rsidRPr="00673236">
        <w:tab/>
      </w:r>
      <w:r w:rsidRPr="00673236">
        <w:tab/>
        <w:t xml:space="preserve">                 </w:t>
      </w:r>
      <w:r>
        <w:t>Jiří Košíček</w:t>
      </w:r>
    </w:p>
    <w:p w14:paraId="0E3567F0" w14:textId="77777777" w:rsidR="007941A6" w:rsidRPr="006F4833" w:rsidRDefault="005262C0" w:rsidP="007941A6">
      <w:pPr>
        <w:jc w:val="both"/>
        <w:rPr>
          <w:sz w:val="24"/>
        </w:rPr>
      </w:pPr>
      <w:r>
        <w:tab/>
      </w:r>
      <w:r>
        <w:tab/>
      </w:r>
      <w:r w:rsidR="007941A6" w:rsidRPr="006F4833">
        <w:tab/>
      </w:r>
      <w:r w:rsidR="007941A6" w:rsidRPr="006F4833">
        <w:tab/>
      </w:r>
      <w:r w:rsidR="007941A6" w:rsidRPr="006F4833">
        <w:tab/>
      </w:r>
      <w:r w:rsidR="007941A6" w:rsidRPr="006F4833">
        <w:tab/>
        <w:t xml:space="preserve">                 </w:t>
      </w:r>
      <w:proofErr w:type="gramStart"/>
      <w:r w:rsidR="007941A6" w:rsidRPr="006F4833">
        <w:t>ing.</w:t>
      </w:r>
      <w:proofErr w:type="gramEnd"/>
      <w:r w:rsidR="007941A6" w:rsidRPr="006F4833">
        <w:t xml:space="preserve"> Pavel Odehnal</w:t>
      </w:r>
    </w:p>
    <w:p w14:paraId="31E11AD6" w14:textId="77777777" w:rsidR="00D73930" w:rsidRDefault="00D73930" w:rsidP="00D73930">
      <w:pPr>
        <w:jc w:val="both"/>
        <w:rPr>
          <w:szCs w:val="22"/>
        </w:rPr>
      </w:pPr>
    </w:p>
    <w:p w14:paraId="23CF4382" w14:textId="77777777" w:rsidR="00FF6DCC" w:rsidRDefault="00FF6DCC" w:rsidP="00D73930">
      <w:pPr>
        <w:jc w:val="both"/>
        <w:rPr>
          <w:szCs w:val="22"/>
        </w:rPr>
      </w:pPr>
    </w:p>
    <w:p w14:paraId="615D9BCE" w14:textId="77777777" w:rsidR="00FF6DCC" w:rsidRDefault="00FF6DCC" w:rsidP="00D73930">
      <w:pPr>
        <w:jc w:val="both"/>
        <w:rPr>
          <w:szCs w:val="22"/>
        </w:rPr>
      </w:pPr>
    </w:p>
    <w:p w14:paraId="5F2F15E9" w14:textId="77777777" w:rsidR="00FF6DCC" w:rsidRDefault="00FF6DCC" w:rsidP="00D73930">
      <w:pPr>
        <w:jc w:val="both"/>
        <w:rPr>
          <w:szCs w:val="22"/>
        </w:rPr>
      </w:pPr>
    </w:p>
    <w:p w14:paraId="2C6870F3" w14:textId="77777777" w:rsidR="00FF6DCC" w:rsidRDefault="00FF6DCC" w:rsidP="00D73930">
      <w:pPr>
        <w:jc w:val="both"/>
        <w:rPr>
          <w:szCs w:val="22"/>
        </w:rPr>
      </w:pPr>
    </w:p>
    <w:p w14:paraId="3DC1E3EF" w14:textId="77777777" w:rsidR="00FF6DCC" w:rsidRDefault="00FF6DCC" w:rsidP="00D73930">
      <w:pPr>
        <w:jc w:val="both"/>
        <w:rPr>
          <w:szCs w:val="22"/>
        </w:rPr>
      </w:pPr>
    </w:p>
    <w:p w14:paraId="52521081" w14:textId="77777777" w:rsidR="00FF6DCC" w:rsidRDefault="00FF6DCC" w:rsidP="00D73930">
      <w:pPr>
        <w:jc w:val="both"/>
        <w:rPr>
          <w:szCs w:val="22"/>
        </w:rPr>
      </w:pPr>
    </w:p>
    <w:p w14:paraId="3150060C" w14:textId="77777777" w:rsidR="00FF6DCC" w:rsidRDefault="00FF6DCC" w:rsidP="00D73930">
      <w:pPr>
        <w:jc w:val="both"/>
        <w:rPr>
          <w:szCs w:val="22"/>
        </w:rPr>
      </w:pPr>
    </w:p>
    <w:p w14:paraId="6604C463" w14:textId="5434E06F" w:rsidR="00FF6DCC" w:rsidRDefault="00FF6DCC" w:rsidP="00D73930">
      <w:pPr>
        <w:jc w:val="both"/>
        <w:rPr>
          <w:szCs w:val="22"/>
        </w:rPr>
      </w:pPr>
    </w:p>
    <w:p w14:paraId="0B92E682" w14:textId="1DA1B716" w:rsidR="007071CA" w:rsidRDefault="007071CA" w:rsidP="00D73930">
      <w:pPr>
        <w:jc w:val="both"/>
        <w:rPr>
          <w:szCs w:val="22"/>
        </w:rPr>
      </w:pPr>
    </w:p>
    <w:p w14:paraId="5FF980C3" w14:textId="01CD9468" w:rsidR="007071CA" w:rsidRDefault="007071CA" w:rsidP="00D73930">
      <w:pPr>
        <w:jc w:val="both"/>
        <w:rPr>
          <w:szCs w:val="22"/>
        </w:rPr>
      </w:pPr>
    </w:p>
    <w:p w14:paraId="46C30BE8" w14:textId="77777777" w:rsidR="007071CA" w:rsidRDefault="007071CA" w:rsidP="00D73930">
      <w:pPr>
        <w:jc w:val="both"/>
        <w:rPr>
          <w:szCs w:val="22"/>
        </w:rPr>
      </w:pPr>
    </w:p>
    <w:p w14:paraId="5FEEF57C" w14:textId="77777777" w:rsidR="00FF6DCC" w:rsidRDefault="00FF6DCC" w:rsidP="00D73930">
      <w:pPr>
        <w:jc w:val="both"/>
        <w:rPr>
          <w:szCs w:val="22"/>
        </w:rPr>
      </w:pPr>
    </w:p>
    <w:p w14:paraId="6D4C88FC" w14:textId="77777777" w:rsidR="00FF6DCC" w:rsidRDefault="00FF6DCC" w:rsidP="00D73930">
      <w:pPr>
        <w:jc w:val="both"/>
        <w:rPr>
          <w:szCs w:val="22"/>
        </w:rPr>
      </w:pPr>
    </w:p>
    <w:p w14:paraId="2C301DD0" w14:textId="77777777" w:rsidR="00FF6DCC" w:rsidRPr="006F4833" w:rsidRDefault="00FF6DCC" w:rsidP="00D73930">
      <w:pPr>
        <w:jc w:val="both"/>
        <w:rPr>
          <w:szCs w:val="22"/>
        </w:rPr>
      </w:pPr>
    </w:p>
    <w:p w14:paraId="4CF48E8D" w14:textId="77777777" w:rsidR="007941A6" w:rsidRPr="007433E7" w:rsidRDefault="0002340A" w:rsidP="00F24652">
      <w:pPr>
        <w:pStyle w:val="Nadpis1"/>
      </w:pPr>
      <w:bookmarkStart w:id="101" w:name="_Toc64356320"/>
      <w:r>
        <w:lastRenderedPageBreak/>
        <w:t>10</w:t>
      </w:r>
      <w:r w:rsidR="00F24652" w:rsidRPr="007433E7">
        <w:t xml:space="preserve">.0 </w:t>
      </w:r>
      <w:r w:rsidR="007941A6" w:rsidRPr="007433E7">
        <w:t>Základní parametry subsystému „Energie“</w:t>
      </w:r>
      <w:bookmarkEnd w:id="101"/>
    </w:p>
    <w:p w14:paraId="5D0D96D4" w14:textId="77777777" w:rsidR="00F24652" w:rsidRPr="00F24652" w:rsidRDefault="00F24652" w:rsidP="007941A6">
      <w:pPr>
        <w:tabs>
          <w:tab w:val="left" w:pos="2410"/>
        </w:tabs>
        <w:ind w:left="2410" w:hanging="2410"/>
      </w:pPr>
    </w:p>
    <w:p w14:paraId="6D603A86" w14:textId="77777777" w:rsidR="007941A6" w:rsidRPr="00F24652" w:rsidRDefault="007941A6" w:rsidP="00F24652">
      <w:bookmarkStart w:id="102" w:name="_Hlk31302773"/>
      <w:r w:rsidRPr="00F24652">
        <w:rPr>
          <w:b/>
          <w:bCs/>
        </w:rPr>
        <w:t>Základní parametry subsystému</w:t>
      </w:r>
      <w:r w:rsidRPr="00F24652">
        <w:t xml:space="preserve"> „Energie“ (podle Nařízení Komise (EU) č. 1301/2014 ze dne 18. listopadu 2014 o technických specifikacích pro interoperabilitu subsystému energie železničního systému v Evropské unii (dále jen TSI ENE)).</w:t>
      </w:r>
    </w:p>
    <w:p w14:paraId="1FB21C05" w14:textId="77777777" w:rsidR="00F24652" w:rsidRPr="00F24652" w:rsidRDefault="00F24652" w:rsidP="00F24652"/>
    <w:p w14:paraId="0EE9B0AE" w14:textId="77777777" w:rsidR="007941A6" w:rsidRPr="00F24652" w:rsidRDefault="007941A6" w:rsidP="00F24652">
      <w:pPr>
        <w:rPr>
          <w:b/>
        </w:rPr>
      </w:pPr>
      <w:r w:rsidRPr="00F24652">
        <w:rPr>
          <w:b/>
        </w:rPr>
        <w:t>Při návrhu trakčního vedení byl použit prvek interoperability Trolejové vedení „Typ J – 3kV“.</w:t>
      </w:r>
    </w:p>
    <w:p w14:paraId="362BB3EA" w14:textId="77777777" w:rsidR="007941A6" w:rsidRDefault="007941A6" w:rsidP="00F24652">
      <w:pPr>
        <w:rPr>
          <w:b/>
        </w:rPr>
      </w:pPr>
      <w:r w:rsidRPr="00F24652">
        <w:rPr>
          <w:b/>
        </w:rPr>
        <w:t>Jednotlivé body v tabulce odpovídající bodům z kapitoly 4 TSI ENE</w:t>
      </w:r>
    </w:p>
    <w:p w14:paraId="45A1F465" w14:textId="77777777" w:rsidR="00F24652" w:rsidRPr="00F24652" w:rsidRDefault="00F24652" w:rsidP="00F2465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7941A6" w:rsidRPr="00F24652" w14:paraId="7BDF6BFC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9F1B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Napětí a kmitočet – 4.2.3</w:t>
            </w:r>
            <w:r w:rsidR="00F24652">
              <w:rPr>
                <w:b/>
                <w:bCs/>
              </w:rPr>
              <w:t xml:space="preserve">                  po realizaci stavby 3kV DC          výhledový stav 25kV </w:t>
            </w:r>
            <w:proofErr w:type="gramStart"/>
            <w:r w:rsidR="00F24652">
              <w:rPr>
                <w:b/>
                <w:bCs/>
              </w:rPr>
              <w:t>50Hz</w:t>
            </w:r>
            <w:proofErr w:type="gramEnd"/>
          </w:p>
          <w:p w14:paraId="64C9B589" w14:textId="77777777" w:rsidR="007941A6" w:rsidRPr="00F24652" w:rsidRDefault="007941A6" w:rsidP="00F24652">
            <w:r w:rsidRPr="00F24652">
              <w:t>trakční napěťová soustava</w:t>
            </w:r>
            <w:r w:rsidR="00F24652">
              <w:tab/>
              <w:t xml:space="preserve">        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AC, 50 Hz</w:t>
            </w:r>
          </w:p>
          <w:p w14:paraId="294623CF" w14:textId="77777777" w:rsidR="007941A6" w:rsidRPr="00F24652" w:rsidRDefault="007941A6" w:rsidP="00F24652">
            <w:r w:rsidRPr="00F24652">
              <w:t>jmenovité napětí</w:t>
            </w:r>
            <w:r w:rsidRPr="00F24652">
              <w:tab/>
            </w:r>
            <w:r w:rsidR="00043EE4">
              <w:t xml:space="preserve">                     </w:t>
            </w:r>
            <w:r w:rsidR="00F24652">
              <w:t xml:space="preserve">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</w:t>
            </w:r>
          </w:p>
          <w:p w14:paraId="02D88A47" w14:textId="77777777" w:rsidR="007941A6" w:rsidRPr="00F24652" w:rsidRDefault="007941A6" w:rsidP="00F24652">
            <w:r w:rsidRPr="00F24652">
              <w:t xml:space="preserve">nejnižší krátkodobé napětí </w:t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17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483D839C" w14:textId="77777777" w:rsidR="007941A6" w:rsidRPr="00F24652" w:rsidRDefault="007941A6" w:rsidP="00F24652">
            <w:r w:rsidRPr="00F24652">
              <w:t>nejnižší trvalé napětí</w:t>
            </w:r>
            <w:r w:rsidR="00F24652">
              <w:tab/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19</w:t>
            </w:r>
            <w:r w:rsidR="00F24652">
              <w:t xml:space="preserve"> </w:t>
            </w:r>
            <w:r w:rsidR="00F24652" w:rsidRPr="00F24652">
              <w:t>000 V AC</w:t>
            </w:r>
          </w:p>
          <w:p w14:paraId="7AEECBE4" w14:textId="77777777" w:rsidR="007941A6" w:rsidRPr="00F24652" w:rsidRDefault="007941A6" w:rsidP="00F24652">
            <w:r w:rsidRPr="00F24652">
              <w:t xml:space="preserve">nejvyšší trvalé napětí </w:t>
            </w:r>
            <w:r w:rsidRPr="00F24652">
              <w:tab/>
            </w:r>
            <w:r w:rsidRPr="00F24652">
              <w:tab/>
            </w:r>
            <w:r w:rsidR="00F24652">
              <w:t xml:space="preserve">        3 6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27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3610E0F7" w14:textId="77777777" w:rsidR="007941A6" w:rsidRPr="00F24652" w:rsidRDefault="00F24652" w:rsidP="00F24652">
            <w:r>
              <w:t>nejvyšší krátkodobé napětí</w:t>
            </w:r>
            <w:r>
              <w:tab/>
              <w:t xml:space="preserve">        3 </w:t>
            </w:r>
            <w:r w:rsidR="007941A6" w:rsidRPr="00F24652">
              <w:t>900 V</w:t>
            </w:r>
            <w:r>
              <w:t> D</w:t>
            </w:r>
            <w:r w:rsidR="007941A6" w:rsidRPr="00F24652">
              <w:t>C</w:t>
            </w:r>
            <w:r>
              <w:t xml:space="preserve">                                  </w:t>
            </w:r>
            <w:r w:rsidRPr="00F24652">
              <w:t>29</w:t>
            </w:r>
            <w:r>
              <w:t xml:space="preserve"> </w:t>
            </w:r>
            <w:r w:rsidRPr="00F24652">
              <w:t>000 V AC</w:t>
            </w:r>
          </w:p>
          <w:p w14:paraId="40933660" w14:textId="77777777" w:rsidR="007941A6" w:rsidRPr="00F24652" w:rsidRDefault="007941A6" w:rsidP="00F24652">
            <w:r w:rsidRPr="00F24652">
              <w:t>frekvence</w:t>
            </w:r>
            <w:r w:rsidRPr="00F24652">
              <w:tab/>
            </w:r>
            <w:r w:rsidRPr="00F24652">
              <w:tab/>
            </w:r>
            <w:r w:rsidRPr="00F24652">
              <w:tab/>
            </w:r>
            <w:r w:rsidR="00F24652">
              <w:t xml:space="preserve">                                                             </w:t>
            </w:r>
            <w:r w:rsidR="00F24652" w:rsidRPr="00F24652">
              <w:t>50 Hz ± 1 %</w:t>
            </w:r>
          </w:p>
          <w:p w14:paraId="6A99E820" w14:textId="77777777" w:rsidR="007941A6" w:rsidRPr="00F24652" w:rsidRDefault="007941A6" w:rsidP="00F24652"/>
          <w:p w14:paraId="2D6AF901" w14:textId="77777777" w:rsidR="007941A6" w:rsidRPr="00F24652" w:rsidRDefault="007941A6" w:rsidP="001A4381">
            <w:pPr>
              <w:jc w:val="both"/>
            </w:pPr>
            <w:r w:rsidRPr="00F24652">
              <w:t>Hodnoty a limity napětí a kmitočtu jsou v souladu s článkem 4 normy EN 50163:200</w:t>
            </w:r>
            <w:r w:rsidR="00F24652" w:rsidRPr="00F24652">
              <w:t xml:space="preserve">4 (česká verze </w:t>
            </w:r>
            <w:r w:rsidR="00F24652">
              <w:t xml:space="preserve">normy </w:t>
            </w:r>
            <w:r w:rsidR="00F24652" w:rsidRPr="00F24652">
              <w:t>ČSN EN 50 163 ed.2)</w:t>
            </w:r>
            <w:r w:rsidRPr="00F24652">
              <w:t>.</w:t>
            </w:r>
            <w:r w:rsidR="00F24652" w:rsidRPr="00F24652">
              <w:t xml:space="preserve"> TV bude po dokončení stavby provozováno v napěťové hladině 3 </w:t>
            </w:r>
            <w:proofErr w:type="spellStart"/>
            <w:r w:rsidR="00F24652" w:rsidRPr="00F24652">
              <w:t>kV</w:t>
            </w:r>
            <w:proofErr w:type="spellEnd"/>
            <w:r w:rsidR="00F24652">
              <w:t xml:space="preserve"> DC</w:t>
            </w:r>
            <w:r w:rsidR="00F24652" w:rsidRPr="00F24652">
              <w:t xml:space="preserve">, izolátory a vzdálenosti musí odpovídat výhledové napěťové hladině 25 </w:t>
            </w:r>
            <w:proofErr w:type="spellStart"/>
            <w:r w:rsidR="00F24652" w:rsidRPr="00F24652">
              <w:t>kV</w:t>
            </w:r>
            <w:proofErr w:type="spellEnd"/>
            <w:r w:rsidR="00F24652">
              <w:t>/</w:t>
            </w:r>
            <w:proofErr w:type="gramStart"/>
            <w:r w:rsidR="00F24652">
              <w:t>50Hz</w:t>
            </w:r>
            <w:proofErr w:type="gramEnd"/>
            <w:r w:rsidR="00F24652">
              <w:t>.</w:t>
            </w:r>
          </w:p>
        </w:tc>
      </w:tr>
      <w:tr w:rsidR="007941A6" w:rsidRPr="00F24652" w14:paraId="1E4E040A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E8D78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Parametry vztahující se k výkonnosti napájecí soustavy – 4.2.4</w:t>
            </w:r>
          </w:p>
          <w:p w14:paraId="0BC6163B" w14:textId="77777777" w:rsidR="00F24652" w:rsidRPr="00F24652" w:rsidRDefault="00F24652" w:rsidP="00F24652">
            <w:r>
              <w:rPr>
                <w:b/>
                <w:bCs/>
              </w:rPr>
              <w:t xml:space="preserve">Maximální proud vlaku </w:t>
            </w:r>
            <w:r>
              <w:rPr>
                <w:b/>
              </w:rPr>
              <w:t>–</w:t>
            </w:r>
            <w:r>
              <w:rPr>
                <w:b/>
                <w:bCs/>
              </w:rPr>
              <w:t xml:space="preserve"> 4.2.4.1</w:t>
            </w:r>
          </w:p>
          <w:p w14:paraId="494F7C8C" w14:textId="77777777" w:rsidR="007941A6" w:rsidRDefault="007941A6" w:rsidP="00F24652">
            <w:pPr>
              <w:jc w:val="both"/>
            </w:pPr>
            <w:r w:rsidRPr="00F24652">
              <w:t>Projekt je navržen tak, aby zaručil schopnost napájení dosáhnout stanovené výkonnosti a umožnil provoz vlaků o výkonu menším než 2 MW bez omezení příkonu nebo proudu.</w:t>
            </w:r>
          </w:p>
          <w:p w14:paraId="0969D9A9" w14:textId="77777777" w:rsidR="00F24652" w:rsidRPr="00F24652" w:rsidRDefault="00F24652" w:rsidP="00F24652">
            <w:pPr>
              <w:rPr>
                <w:b/>
              </w:rPr>
            </w:pPr>
            <w:r w:rsidRPr="00F24652">
              <w:rPr>
                <w:b/>
              </w:rPr>
              <w:t>Střední užitečné napětí</w:t>
            </w:r>
            <w:r>
              <w:rPr>
                <w:b/>
              </w:rPr>
              <w:t xml:space="preserve"> – 4.2.4.2</w:t>
            </w:r>
          </w:p>
          <w:p w14:paraId="3CCFD0DB" w14:textId="77777777" w:rsidR="007941A6" w:rsidRPr="00F24652" w:rsidRDefault="007941A6" w:rsidP="00F24652">
            <w:pPr>
              <w:jc w:val="both"/>
            </w:pPr>
            <w:r w:rsidRPr="00F24652">
              <w:t>Vypočtené střední užitečné napětí „na pantografovém sběrači“ splňuje článek 8 normy EN 50388:2012</w:t>
            </w:r>
            <w:r w:rsidR="00F24652">
              <w:t xml:space="preserve"> (česká verze normy ČSN EN 50 388 ed.2)</w:t>
            </w:r>
          </w:p>
          <w:p w14:paraId="0B8C3EB3" w14:textId="77777777" w:rsidR="007941A6" w:rsidRPr="00F24652" w:rsidRDefault="007941A6" w:rsidP="00F24652">
            <w:r w:rsidRPr="00F24652">
              <w:t>Podrobněji parametry vztahující se k výkonosti napájecí soustavy rozepsány v energetických výpočtech.</w:t>
            </w:r>
          </w:p>
        </w:tc>
      </w:tr>
      <w:tr w:rsidR="007941A6" w:rsidRPr="00F24652" w14:paraId="40B55A65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B126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Proudová zatížitelnost, stejnosměrné soustavy, stojící vlaky – 4.2.5</w:t>
            </w:r>
          </w:p>
          <w:p w14:paraId="6C81DD83" w14:textId="77777777" w:rsidR="004A1309" w:rsidRDefault="008E4ACB" w:rsidP="008E4ACB">
            <w:r w:rsidRPr="00B839FB">
              <w:rPr>
                <w:szCs w:val="22"/>
              </w:rPr>
              <w:t xml:space="preserve">Pro napájecí soustavu 3kV DC - 200 A </w:t>
            </w:r>
            <w:r>
              <w:rPr>
                <w:szCs w:val="22"/>
              </w:rPr>
              <w:t xml:space="preserve">pro každý pantograf u stojícího vlaku </w:t>
            </w:r>
            <w:r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B839FB">
              <w:rPr>
                <w:szCs w:val="22"/>
              </w:rPr>
              <w:t xml:space="preserve">dle TSI ENE, dosažené při zkušební hodnotě statické přítlačné síly </w:t>
            </w:r>
            <w:proofErr w:type="gramStart"/>
            <w:r w:rsidRPr="00B839FB">
              <w:rPr>
                <w:szCs w:val="22"/>
              </w:rPr>
              <w:t>90N</w:t>
            </w:r>
            <w:proofErr w:type="gramEnd"/>
            <w:r w:rsidRPr="00B839FB">
              <w:rPr>
                <w:szCs w:val="22"/>
              </w:rPr>
              <w:t xml:space="preserve"> dle tabulky 4 EN 50 367:2012 (česká verze normy ČSN EN 50367 ed.2)</w:t>
            </w:r>
            <w:r>
              <w:rPr>
                <w:szCs w:val="22"/>
              </w:rPr>
              <w:t xml:space="preserve"> při splnění teplotních limitů dle 5.1.2 EN 50 119:2009.</w:t>
            </w:r>
          </w:p>
          <w:p w14:paraId="4D1BDB35" w14:textId="77777777" w:rsidR="007941A6" w:rsidRPr="00F24652" w:rsidRDefault="00F24652" w:rsidP="008E4ACB"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TSI ENE hodnotu neurčuje, 80A</w:t>
            </w:r>
            <w:r w:rsidR="008E4ACB">
              <w:t xml:space="preserve"> </w:t>
            </w:r>
            <w:r w:rsidR="008E4ACB">
              <w:rPr>
                <w:szCs w:val="22"/>
              </w:rPr>
              <w:t xml:space="preserve">pro každý pantograf u stojícího vlaku </w:t>
            </w:r>
            <w:r w:rsidR="008E4ACB"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F24652">
              <w:t xml:space="preserve">dle </w:t>
            </w:r>
            <w:r>
              <w:t xml:space="preserve">tabulky 5 dosažené při zkušební hodnotě statické přítlačné síly 70N dle tabulky 4 EN 50 367:2012 (česká verze normy </w:t>
            </w:r>
            <w:r w:rsidRPr="00F24652">
              <w:t>ČSN EN 50367 ed.2</w:t>
            </w:r>
            <w:r>
              <w:t>)</w:t>
            </w:r>
            <w:r w:rsidR="007941A6" w:rsidRPr="00F24652">
              <w:t xml:space="preserve"> </w:t>
            </w:r>
            <w:r w:rsidR="008E4ACB">
              <w:rPr>
                <w:szCs w:val="22"/>
              </w:rPr>
              <w:t>při splnění teplotních limitů dle 5.1.2 EN 50 119:2009.</w:t>
            </w:r>
          </w:p>
        </w:tc>
      </w:tr>
      <w:tr w:rsidR="007941A6" w:rsidRPr="00F24652" w14:paraId="695308D9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9BE1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Rekuperační brzdění – 4.2.6</w:t>
            </w:r>
          </w:p>
          <w:p w14:paraId="70BDA947" w14:textId="77777777" w:rsidR="00F24652" w:rsidRDefault="00F24652" w:rsidP="00F24652">
            <w:pPr>
              <w:jc w:val="both"/>
            </w:pPr>
            <w:r>
              <w:t>Pro napájecí soustavu 3kV DC návrh umožňuje použití rekuperačního brzdění alespoň prostřednictvím výměny energie s jinými vlaky.</w:t>
            </w:r>
          </w:p>
          <w:p w14:paraId="3713FEE1" w14:textId="77777777" w:rsidR="004A1309" w:rsidRDefault="004A1309" w:rsidP="00F24652">
            <w:pPr>
              <w:jc w:val="both"/>
            </w:pPr>
          </w:p>
          <w:p w14:paraId="1525E1C5" w14:textId="77777777" w:rsidR="007941A6" w:rsidRPr="00F24652" w:rsidRDefault="00F24652" w:rsidP="00F24652">
            <w:pPr>
              <w:jc w:val="both"/>
            </w:pPr>
            <w:r>
              <w:t>Pro napájecí soustavu 25kV, 50Hz návrh umožňuje použití rekuperačního brzdění schopného bezproblémové výměny energie buď s jinými vlaky, nebo jakýmkoli jiným způsobem</w:t>
            </w:r>
            <w:r w:rsidR="007941A6" w:rsidRPr="00F24652">
              <w:t xml:space="preserve">. Samotný zpětný přenos energie do energetické soustavy bude umožněný až po dohodnutí obchodních podmínek mezi manažerem infrastruktury a distribuční společností. </w:t>
            </w:r>
          </w:p>
        </w:tc>
      </w:tr>
      <w:tr w:rsidR="007941A6" w:rsidRPr="00F24652" w14:paraId="4E976AB4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5535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Opatření pro koordinaci elektrické ochrany – 4.2.7</w:t>
            </w:r>
          </w:p>
          <w:p w14:paraId="2FDCAD11" w14:textId="77777777" w:rsidR="007941A6" w:rsidRPr="00F24652" w:rsidRDefault="007941A6" w:rsidP="00F24652">
            <w:pPr>
              <w:jc w:val="both"/>
            </w:pPr>
            <w:r w:rsidRPr="00F24652">
              <w:t>Dimenzování obvodů a jejich vybavení ochrany umožňuje přenos výkonu z</w:t>
            </w:r>
            <w:r w:rsidR="00F24652">
              <w:t xml:space="preserve"> dotčených </w:t>
            </w:r>
            <w:r w:rsidRPr="00F24652">
              <w:t>TNS do všech napájených úseků trakčního vedení v rozsahu vyplývajících z energetických výpočtů. Ochrana před zkraty je navržena</w:t>
            </w:r>
            <w:r w:rsidR="00F24652">
              <w:t xml:space="preserve"> pomocí rychlovypínačů v souladu s čl. 11 normy EN 50388:2012 (česká verze normy ČSN EN 50 388 ed.2)</w:t>
            </w:r>
          </w:p>
          <w:p w14:paraId="3FE844B6" w14:textId="77777777" w:rsidR="007941A6" w:rsidRDefault="007941A6" w:rsidP="004A1309">
            <w:pPr>
              <w:jc w:val="both"/>
            </w:pPr>
            <w:r w:rsidRPr="00F24652">
              <w:t xml:space="preserve"> Koordinace ochran TNS a nových elektrických trakčn</w:t>
            </w:r>
            <w:r w:rsidR="00F24652">
              <w:t>í</w:t>
            </w:r>
            <w:r w:rsidRPr="00F24652">
              <w:t xml:space="preserve">ch vozidel bude vypracovaná ve fázi jejich nasazování. </w:t>
            </w:r>
          </w:p>
          <w:p w14:paraId="4CA0C44C" w14:textId="77777777" w:rsidR="001A4381" w:rsidRPr="00F24652" w:rsidRDefault="001A4381" w:rsidP="004A1309">
            <w:pPr>
              <w:jc w:val="both"/>
            </w:pPr>
          </w:p>
        </w:tc>
      </w:tr>
      <w:tr w:rsidR="007941A6" w:rsidRPr="00F24652" w14:paraId="00E25AE4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6617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Účinky harmonických a dynamických jevů ve střídavých trakčních napájecích soustavách – 4.2.8</w:t>
            </w:r>
          </w:p>
          <w:p w14:paraId="788A4D01" w14:textId="77777777" w:rsidR="00F24652" w:rsidRPr="00F24652" w:rsidRDefault="00F24652" w:rsidP="00F24652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  <w:r w:rsidRPr="00F24652">
              <w:t xml:space="preserve"> TSI ENE hodnotu neurčuje, </w:t>
            </w:r>
            <w:r>
              <w:t>5 </w:t>
            </w:r>
            <w:proofErr w:type="gramStart"/>
            <w:r>
              <w:t>100V</w:t>
            </w:r>
            <w:proofErr w:type="gramEnd"/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</w:t>
            </w:r>
          </w:p>
          <w:p w14:paraId="6CB91898" w14:textId="77777777" w:rsidR="00F24652" w:rsidRDefault="00F24652" w:rsidP="00F24652"/>
          <w:p w14:paraId="13F17B87" w14:textId="77777777" w:rsidR="00F24652" w:rsidRDefault="00F24652" w:rsidP="00F24652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- 50 000V</w:t>
            </w:r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ed.2).</w:t>
            </w:r>
          </w:p>
          <w:p w14:paraId="321CAAB5" w14:textId="77777777" w:rsidR="00F24652" w:rsidRPr="00F24652" w:rsidRDefault="00F24652" w:rsidP="00F24652">
            <w:pPr>
              <w:jc w:val="both"/>
            </w:pPr>
            <w:r>
              <w:t xml:space="preserve"> </w:t>
            </w:r>
          </w:p>
          <w:p w14:paraId="10CDB23B" w14:textId="77777777" w:rsidR="007941A6" w:rsidRPr="00F24652" w:rsidRDefault="007941A6" w:rsidP="00F24652">
            <w:pPr>
              <w:jc w:val="both"/>
            </w:pPr>
            <w:r w:rsidRPr="00F24652">
              <w:t xml:space="preserve">Trakční napájecí soustavy a železniční kolejová vozidla musí být schopné vzájemné spolupráce bez rušivých vlivů jako přepětí a jiných jevů popsaných v kapitole 10 EN 50388:2012. Integrace prvků trakční měnírny je provedena na základě dřívějších zkušeností, z tohoto důvodu se nemusí provádět studie kompatibility podle bodu 10.3. EN 503888 </w:t>
            </w:r>
            <w:proofErr w:type="spellStart"/>
            <w:r w:rsidRPr="00F24652">
              <w:t>ed</w:t>
            </w:r>
            <w:proofErr w:type="spellEnd"/>
            <w:r w:rsidRPr="00F24652">
              <w:t xml:space="preserve">. 2. V případě instalace nových prvků bude zpracována studie kompatibility. V rámci nové napájecí stanice je navrženo filtračně-kompenzační zařízení redukující účinky harmonických přepětí. V návrhu jsou splněné požadavky správců energetické soustavy 110 </w:t>
            </w:r>
            <w:proofErr w:type="spellStart"/>
            <w:r w:rsidRPr="00F24652">
              <w:t>kV</w:t>
            </w:r>
            <w:proofErr w:type="spellEnd"/>
            <w:r w:rsidRPr="00F24652">
              <w:t>. Po realizaci budou požadované parametry ověřené měřením.</w:t>
            </w:r>
          </w:p>
          <w:p w14:paraId="3E3B380F" w14:textId="77777777" w:rsidR="007941A6" w:rsidRPr="00F24652" w:rsidRDefault="007941A6" w:rsidP="00F24652"/>
        </w:tc>
      </w:tr>
      <w:tr w:rsidR="007941A6" w:rsidRPr="00F24652" w14:paraId="4B2C0220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7C3A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Geometrie trolejového vedení – 4.2.9</w:t>
            </w:r>
          </w:p>
          <w:p w14:paraId="613B74AB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Výška trolejového vodiče – 4.2.9.1</w:t>
            </w:r>
          </w:p>
          <w:p w14:paraId="40F7A0EC" w14:textId="77777777" w:rsidR="007941A6" w:rsidRPr="00F24652" w:rsidRDefault="007941A6" w:rsidP="00470B4E">
            <w:pPr>
              <w:jc w:val="both"/>
            </w:pPr>
            <w:bookmarkStart w:id="103" w:name="_Toc198611928"/>
            <w:r w:rsidRPr="00F24652">
              <w:t xml:space="preserve">Jmenovitá výška trolejového </w:t>
            </w:r>
            <w:bookmarkEnd w:id="103"/>
            <w:r w:rsidRPr="00F24652">
              <w:t xml:space="preserve">vodiče </w:t>
            </w:r>
            <w:r w:rsidR="00470B4E">
              <w:t xml:space="preserve">je mezi </w:t>
            </w:r>
            <w:r w:rsidRPr="00F24652">
              <w:t>5,</w:t>
            </w:r>
            <w:r w:rsidR="00470B4E">
              <w:t>0</w:t>
            </w:r>
            <w:proofErr w:type="gramStart"/>
            <w:r w:rsidRPr="00F24652">
              <w:t xml:space="preserve">m </w:t>
            </w:r>
            <w:r w:rsidR="00470B4E">
              <w:t xml:space="preserve"> a</w:t>
            </w:r>
            <w:proofErr w:type="gramEnd"/>
            <w:r w:rsidR="00470B4E">
              <w:t xml:space="preserve"> 5,75m </w:t>
            </w:r>
            <w:r w:rsidRPr="00F24652">
              <w:t xml:space="preserve">nad TK </w:t>
            </w:r>
            <w:r w:rsidR="00470B4E">
              <w:t>(podle TSI ENE, v ČR omezena spodní hranice podle ČSN 34 1530</w:t>
            </w:r>
            <w:r w:rsidR="008E4ACB">
              <w:t xml:space="preserve"> ed.2</w:t>
            </w:r>
            <w:r w:rsidR="00470B4E">
              <w:t xml:space="preserve"> na 5,10m nad TK pro průjezdný průřez Z-GC)</w:t>
            </w:r>
          </w:p>
          <w:p w14:paraId="76E542F7" w14:textId="77777777" w:rsidR="007941A6" w:rsidRPr="00F24652" w:rsidRDefault="007941A6" w:rsidP="00470B4E">
            <w:pPr>
              <w:jc w:val="both"/>
              <w:rPr>
                <w:spacing w:val="-2"/>
              </w:rPr>
            </w:pPr>
            <w:bookmarkStart w:id="104" w:name="_Toc198611929"/>
            <w:r w:rsidRPr="00F24652">
              <w:rPr>
                <w:spacing w:val="-2"/>
              </w:rPr>
              <w:t xml:space="preserve">Minimální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4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</w:t>
            </w:r>
            <w:r w:rsidRPr="00F24652">
              <w:rPr>
                <w:spacing w:val="-2"/>
              </w:rPr>
              <w:t>5,</w:t>
            </w:r>
            <w:r w:rsidR="00470B4E">
              <w:rPr>
                <w:spacing w:val="-2"/>
              </w:rPr>
              <w:t>1</w:t>
            </w:r>
            <w:r w:rsidRPr="00F24652">
              <w:rPr>
                <w:spacing w:val="-2"/>
              </w:rPr>
              <w:t>0 m nad TK</w:t>
            </w:r>
            <w:r w:rsidR="00470B4E">
              <w:rPr>
                <w:spacing w:val="-2"/>
              </w:rPr>
              <w:t xml:space="preserve"> </w:t>
            </w:r>
            <w:r w:rsidR="00470B4E">
              <w:t xml:space="preserve">podle ČSN 34 1530 TK </w:t>
            </w:r>
            <w:r w:rsidR="008E4ACB">
              <w:t xml:space="preserve">ed.2 </w:t>
            </w:r>
            <w:r w:rsidR="00470B4E">
              <w:t>pro průjezdný průřez Z-GC, m</w:t>
            </w:r>
            <w:bookmarkStart w:id="105" w:name="_Toc198611930"/>
            <w:r w:rsidRPr="00F24652">
              <w:rPr>
                <w:spacing w:val="-2"/>
              </w:rPr>
              <w:t xml:space="preserve">aximální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5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6,20 m nad TK.</w:t>
            </w:r>
          </w:p>
          <w:p w14:paraId="5446F7A3" w14:textId="77777777" w:rsidR="00470B4E" w:rsidRDefault="00470B4E" w:rsidP="00470B4E">
            <w:pPr>
              <w:jc w:val="both"/>
            </w:pPr>
          </w:p>
          <w:p w14:paraId="4197166F" w14:textId="77777777" w:rsidR="007941A6" w:rsidRPr="00F24652" w:rsidRDefault="00470B4E" w:rsidP="00470B4E">
            <w:pPr>
              <w:jc w:val="both"/>
            </w:pPr>
            <w:r>
              <w:t>V projektu je navržena základní výška 5,50m nad TK (dle ČSN 34 1530</w:t>
            </w:r>
            <w:r w:rsidR="008E4ACB">
              <w:t xml:space="preserve"> ed.2</w:t>
            </w:r>
            <w:r>
              <w:t xml:space="preserve">) s lokálními sníženími pod umělými stavbami (nadjezdy). </w:t>
            </w:r>
            <w:r w:rsidR="007941A6" w:rsidRPr="00F24652">
              <w:t xml:space="preserve">Změna výšek trolejového drátu </w:t>
            </w:r>
            <w:r>
              <w:t xml:space="preserve">jsou </w:t>
            </w:r>
            <w:r w:rsidR="007941A6" w:rsidRPr="00F24652">
              <w:t>navržen</w:t>
            </w:r>
            <w:r>
              <w:t>y</w:t>
            </w:r>
            <w:r w:rsidR="007941A6" w:rsidRPr="00F24652">
              <w:t xml:space="preserve"> dle požadavků uvedených v normě EN 50119:2009 </w:t>
            </w:r>
            <w:r>
              <w:t>(česká verze normy ČSN EN 50 119 ed.2)</w:t>
            </w:r>
          </w:p>
          <w:p w14:paraId="5C448194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48E3CF8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6D06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Maximální stranová výchylka – 4.2.9.2</w:t>
            </w:r>
          </w:p>
          <w:p w14:paraId="1215727F" w14:textId="77777777" w:rsidR="007941A6" w:rsidRPr="00F24652" w:rsidRDefault="007941A6" w:rsidP="00F24652">
            <w:r w:rsidRPr="00F24652">
              <w:t>Trakční vedení je navržené pro sběrač o délce hlavy 1950 mm i 1600 mm.</w:t>
            </w:r>
          </w:p>
          <w:p w14:paraId="5BD63A97" w14:textId="77777777" w:rsidR="007941A6" w:rsidRPr="00F24652" w:rsidRDefault="007941A6" w:rsidP="00F24652">
            <w:r w:rsidRPr="00F24652">
              <w:t xml:space="preserve">Maximální stranová výchylka trolejového vodiče vůči ose koleje při působení bočního větru je </w:t>
            </w:r>
            <w:proofErr w:type="gramStart"/>
            <w:r w:rsidRPr="00F24652">
              <w:t>400mm</w:t>
            </w:r>
            <w:proofErr w:type="gramEnd"/>
            <w:r w:rsidRPr="00F24652">
              <w:t xml:space="preserve"> dle TSI ENE. </w:t>
            </w:r>
          </w:p>
          <w:p w14:paraId="4492A57F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2CEA8F74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5870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Obrys pantografového sběrače – 4.2.10</w:t>
            </w:r>
          </w:p>
          <w:p w14:paraId="3D56BE31" w14:textId="77777777" w:rsidR="007941A6" w:rsidRPr="00F24652" w:rsidRDefault="007941A6" w:rsidP="00F24652">
            <w:r w:rsidRPr="00F24652">
              <w:t>Průjezdný průřez sběrače</w:t>
            </w:r>
            <w:r w:rsidRPr="00F24652">
              <w:rPr>
                <w:b/>
                <w:iCs/>
              </w:rPr>
              <w:t xml:space="preserve"> </w:t>
            </w:r>
            <w:r w:rsidRPr="00F24652">
              <w:t xml:space="preserve">je vypočten při použití metody uvedené v TSI ENE </w:t>
            </w:r>
            <w:r w:rsidR="008E4ACB">
              <w:t>dodatek</w:t>
            </w:r>
            <w:r w:rsidRPr="00F24652">
              <w:t xml:space="preserve"> D, bod D.1 a bodu 4.2.8.2.9.2 TSI CR LOC&amp;PAS. </w:t>
            </w:r>
          </w:p>
          <w:p w14:paraId="43CB4128" w14:textId="77777777" w:rsidR="007941A6" w:rsidRPr="00F24652" w:rsidRDefault="007941A6" w:rsidP="00F24652">
            <w:r w:rsidRPr="00F24652">
              <w:t>Pro určení průjezdného průřezu pantografového sběrače byly použité údaje pro sběrač o délce hlavy 1950 mm.</w:t>
            </w:r>
          </w:p>
          <w:p w14:paraId="678F6FD3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 xml:space="preserve">Šírka </w:t>
            </w:r>
            <w:proofErr w:type="spellStart"/>
            <w:r w:rsidRPr="00F24652">
              <w:rPr>
                <w:b/>
              </w:rPr>
              <w:t>mechanicko</w:t>
            </w:r>
            <w:proofErr w:type="spellEnd"/>
            <w:r w:rsidRPr="00F24652">
              <w:rPr>
                <w:b/>
              </w:rPr>
              <w:t xml:space="preserve"> kinematického průjezdného průřezu sběrače v horním ověřovacím bodě 6,5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o</w:t>
            </w:r>
            <w:proofErr w:type="spellEnd"/>
            <w:r w:rsidRPr="00F24652">
              <w:rPr>
                <w:b/>
                <w:vertAlign w:val="subscript"/>
              </w:rPr>
              <w:t>(i/a</w:t>
            </w:r>
            <w:proofErr w:type="gramStart"/>
            <w:r w:rsidRPr="00F24652">
              <w:rPr>
                <w:b/>
                <w:vertAlign w:val="subscript"/>
              </w:rPr>
              <w:t>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proofErr w:type="gram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 xml:space="preserve">= 1,175 m a v dolním ověřovacím bodě 5,0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u</w:t>
            </w:r>
            <w:proofErr w:type="spellEnd"/>
            <w:r w:rsidRPr="00F24652">
              <w:rPr>
                <w:b/>
                <w:vertAlign w:val="subscript"/>
              </w:rPr>
              <w:t>(i/a),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>= 1,110 m.</w:t>
            </w:r>
          </w:p>
          <w:p w14:paraId="04C1D8C2" w14:textId="77777777" w:rsidR="007941A6" w:rsidRDefault="00043EE4" w:rsidP="00F24652">
            <w:pPr>
              <w:rPr>
                <w:szCs w:val="22"/>
              </w:rPr>
            </w:pPr>
            <w:bookmarkStart w:id="106" w:name="_Hlk31009493"/>
            <w:r>
              <w:rPr>
                <w:szCs w:val="22"/>
              </w:rPr>
              <w:t>Žádná</w:t>
            </w:r>
            <w:r w:rsidRPr="00070E64">
              <w:rPr>
                <w:szCs w:val="22"/>
              </w:rPr>
              <w:t xml:space="preserve"> část subsystému energie kromě trolejového vodiče a bočního držáku </w:t>
            </w:r>
            <w:r>
              <w:rPr>
                <w:szCs w:val="22"/>
              </w:rPr>
              <w:t>ne</w:t>
            </w:r>
            <w:r w:rsidRPr="00070E64">
              <w:rPr>
                <w:szCs w:val="22"/>
              </w:rPr>
              <w:t>zasahuje do mechanicko-kinematického obrysu pantografového sběrače definovaném dodatkem D TSI ENE.</w:t>
            </w:r>
            <w:bookmarkEnd w:id="106"/>
          </w:p>
          <w:p w14:paraId="1BA53B8F" w14:textId="77777777" w:rsidR="00043EE4" w:rsidRPr="00043EE4" w:rsidRDefault="00043EE4" w:rsidP="00F24652">
            <w:pPr>
              <w:rPr>
                <w:szCs w:val="22"/>
              </w:rPr>
            </w:pPr>
          </w:p>
        </w:tc>
      </w:tr>
      <w:tr w:rsidR="007941A6" w:rsidRPr="00F24652" w14:paraId="55C6194A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18F4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Střední přítlačná síla – 4.2.11</w:t>
            </w:r>
          </w:p>
          <w:p w14:paraId="0F600AE1" w14:textId="77777777" w:rsidR="00470B4E" w:rsidRDefault="00470B4E" w:rsidP="00470B4E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</w:p>
          <w:p w14:paraId="728E2317" w14:textId="77777777" w:rsidR="00470B4E" w:rsidRDefault="00470B4E" w:rsidP="00470B4E">
            <w:pPr>
              <w:jc w:val="both"/>
            </w:pPr>
            <w:r>
              <w:t>r</w:t>
            </w:r>
            <w:r w:rsidRPr="00F24652">
              <w:t>ozsah střední přítlačné síly je 0,0007</w:t>
            </w:r>
            <w:r>
              <w:t>2</w:t>
            </w:r>
            <w:r w:rsidRPr="00F24652">
              <w:t>. 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9</w:t>
            </w:r>
            <w:r w:rsidRPr="00F24652">
              <w:t xml:space="preserve">0 N </w:t>
            </w:r>
            <w:proofErr w:type="gramStart"/>
            <w:r w:rsidRPr="00F24652">
              <w:t xml:space="preserve">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proofErr w:type="gramEnd"/>
            <w:r w:rsidRPr="00F24652">
              <w:t xml:space="preserve"> &lt; 0,000</w:t>
            </w:r>
            <w:r>
              <w:t>9</w:t>
            </w:r>
            <w:r w:rsidRPr="00F24652">
              <w:t>7.v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11</w:t>
            </w:r>
            <w:r w:rsidRPr="00F24652">
              <w:t>0 N.</w:t>
            </w:r>
            <w:r>
              <w:t xml:space="preserve"> </w:t>
            </w:r>
            <w:r w:rsidRPr="00F24652">
              <w:t>Pro rychlost 160 km/h to představuje rozsah střední přítlačné s</w:t>
            </w:r>
            <w:r>
              <w:t>í</w:t>
            </w:r>
            <w:r w:rsidRPr="00F24652">
              <w:t xml:space="preserve">ly </w:t>
            </w:r>
            <w:r>
              <w:t>108</w:t>
            </w:r>
            <w:r w:rsidR="00043EE4">
              <w:t>,4</w:t>
            </w:r>
            <w:r w:rsidRPr="00F24652">
              <w:t xml:space="preserve"> N </w:t>
            </w:r>
            <w:proofErr w:type="gramStart"/>
            <w:r w:rsidRPr="00F24652">
              <w:t xml:space="preserve">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proofErr w:type="gramEnd"/>
            <w:r w:rsidRPr="00F24652">
              <w:t xml:space="preserve"> &lt; 1</w:t>
            </w:r>
            <w:r>
              <w:t>34</w:t>
            </w:r>
            <w:r w:rsidR="00043EE4">
              <w:t>,8</w:t>
            </w:r>
            <w:r w:rsidRPr="00F24652">
              <w:t xml:space="preserve"> N.</w:t>
            </w:r>
          </w:p>
          <w:p w14:paraId="51E522E3" w14:textId="77777777" w:rsidR="00470B4E" w:rsidRDefault="00470B4E" w:rsidP="00F24652"/>
          <w:p w14:paraId="5E785048" w14:textId="77777777" w:rsidR="00470B4E" w:rsidRDefault="00470B4E" w:rsidP="00470B4E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</w:p>
          <w:p w14:paraId="48ACB0A0" w14:textId="77777777" w:rsidR="007941A6" w:rsidRDefault="00470B4E" w:rsidP="00470B4E">
            <w:pPr>
              <w:jc w:val="both"/>
            </w:pPr>
            <w:r>
              <w:t>r</w:t>
            </w:r>
            <w:r w:rsidR="007941A6" w:rsidRPr="00F24652">
              <w:t>ozsah střední přítlačné síly je 0,00047. 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+ 60 N </w:t>
            </w:r>
            <w:proofErr w:type="gramStart"/>
            <w:r w:rsidR="007941A6" w:rsidRPr="00F24652">
              <w:t xml:space="preserve">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proofErr w:type="gramEnd"/>
            <w:r w:rsidR="007941A6" w:rsidRPr="00F24652">
              <w:t xml:space="preserve"> &lt; 0,00047.v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+ 90 N.</w:t>
            </w:r>
            <w:r>
              <w:t xml:space="preserve"> </w:t>
            </w:r>
            <w:r w:rsidR="007941A6" w:rsidRPr="00F24652">
              <w:t>Pro rychlost 160 km/h to předsta</w:t>
            </w:r>
            <w:r>
              <w:t>vuje rozsah střední přítlačné sí</w:t>
            </w:r>
            <w:r w:rsidR="007941A6" w:rsidRPr="00F24652">
              <w:t>ly 72</w:t>
            </w:r>
            <w:r w:rsidR="00043EE4">
              <w:t>,0</w:t>
            </w:r>
            <w:r w:rsidR="007941A6" w:rsidRPr="00F24652">
              <w:t xml:space="preserve"> N </w:t>
            </w:r>
            <w:proofErr w:type="gramStart"/>
            <w:r w:rsidR="007941A6" w:rsidRPr="00F24652">
              <w:t xml:space="preserve">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proofErr w:type="gramEnd"/>
            <w:r w:rsidR="007941A6" w:rsidRPr="00F24652">
              <w:t xml:space="preserve"> &lt; 102</w:t>
            </w:r>
            <w:r w:rsidR="00043EE4">
              <w:t>,0</w:t>
            </w:r>
            <w:r w:rsidR="007941A6" w:rsidRPr="00F24652">
              <w:t xml:space="preserve"> N.</w:t>
            </w:r>
          </w:p>
          <w:p w14:paraId="2400B521" w14:textId="77777777" w:rsidR="00470B4E" w:rsidRPr="00F24652" w:rsidRDefault="00470B4E" w:rsidP="00F24652"/>
          <w:p w14:paraId="4A318602" w14:textId="77777777" w:rsidR="007941A6" w:rsidRPr="00F24652" w:rsidRDefault="007941A6" w:rsidP="00F24652">
            <w:r w:rsidRPr="00F24652">
              <w:t xml:space="preserve">Trolejové vedení je navrženo tak, aby sneslo tuto hodnotu střední přítlačné síly, </w:t>
            </w:r>
            <w:r w:rsidR="00470B4E" w:rsidRPr="00F24652">
              <w:t>tab. 6</w:t>
            </w:r>
            <w:r w:rsidR="00470B4E">
              <w:t xml:space="preserve"> </w:t>
            </w:r>
            <w:r w:rsidRPr="00F24652">
              <w:t xml:space="preserve">dle EN 50367:2012 </w:t>
            </w:r>
            <w:r w:rsidR="00470B4E">
              <w:t xml:space="preserve">(česká verze normy </w:t>
            </w:r>
            <w:r w:rsidR="00470B4E" w:rsidRPr="00F24652">
              <w:t>ČSN EN 50367 ed.2</w:t>
            </w:r>
            <w:r w:rsidR="00470B4E">
              <w:t>)</w:t>
            </w:r>
          </w:p>
          <w:p w14:paraId="68EEDE74" w14:textId="77777777" w:rsidR="007941A6" w:rsidRDefault="007941A6" w:rsidP="00F24652"/>
          <w:p w14:paraId="2ED8FF47" w14:textId="77777777" w:rsidR="00470B4E" w:rsidRPr="00F24652" w:rsidRDefault="00470B4E" w:rsidP="00F24652"/>
        </w:tc>
      </w:tr>
      <w:tr w:rsidR="007941A6" w:rsidRPr="00F24652" w14:paraId="74E848ED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50533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Dynamické chování a jakost odběru proudu – 4.2.12</w:t>
            </w:r>
          </w:p>
          <w:p w14:paraId="40653CC9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>Požadavky na dynamické chování a na jakost odběru proudu odpovídají tabulce 4.2.12 TSI ENE 1301/2014</w:t>
            </w:r>
          </w:p>
          <w:p w14:paraId="06D9BAE6" w14:textId="77777777" w:rsidR="008E4ACB" w:rsidRDefault="008E4ACB" w:rsidP="008E4ACB">
            <w:pPr>
              <w:rPr>
                <w:szCs w:val="22"/>
              </w:rPr>
            </w:pPr>
            <w:r>
              <w:rPr>
                <w:szCs w:val="22"/>
              </w:rPr>
              <w:t xml:space="preserve">V posuzovaném úseku jsou splněny pro traťovou </w:t>
            </w:r>
            <w:r w:rsidRPr="00B839FB">
              <w:rPr>
                <w:szCs w:val="22"/>
              </w:rPr>
              <w:t>rychlost 160 km/h.</w:t>
            </w:r>
            <w:r>
              <w:rPr>
                <w:szCs w:val="22"/>
              </w:rPr>
              <w:t xml:space="preserve"> </w:t>
            </w:r>
          </w:p>
          <w:p w14:paraId="69E3AECB" w14:textId="77777777" w:rsidR="008E4ACB" w:rsidRDefault="008E4ACB" w:rsidP="008E4ACB">
            <w:pPr>
              <w:rPr>
                <w:szCs w:val="22"/>
              </w:rPr>
            </w:pPr>
            <w:r w:rsidRPr="00B839FB">
              <w:rPr>
                <w:szCs w:val="22"/>
              </w:rPr>
              <w:t xml:space="preserve">Dynamické chování TV bude ověřeno měřením po dokončení realizace montáže. </w:t>
            </w:r>
          </w:p>
          <w:p w14:paraId="5EB58626" w14:textId="77777777" w:rsidR="007941A6" w:rsidRPr="00F24652" w:rsidRDefault="007941A6" w:rsidP="00F24652"/>
        </w:tc>
      </w:tr>
      <w:tr w:rsidR="007941A6" w:rsidRPr="00F24652" w14:paraId="24F5347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2A63C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Vzdálenost mezi pantografovými sběrači použitá pro návrh trolejového vedení – 4.2.13</w:t>
            </w:r>
          </w:p>
          <w:p w14:paraId="2DF00245" w14:textId="77777777" w:rsidR="007941A6" w:rsidRPr="00F24652" w:rsidRDefault="007941A6" w:rsidP="00470B4E">
            <w:pPr>
              <w:jc w:val="both"/>
            </w:pPr>
            <w:r w:rsidRPr="00F24652">
              <w:t xml:space="preserve">Trolejové vedení je navržené pro dva sousední provozované pantografové sběrače. Minimální vzdálenost os hlav pantografových sběračů je stanovena pro konstrukční typ </w:t>
            </w:r>
            <w:r w:rsidR="008E4ACB">
              <w:t>C</w:t>
            </w:r>
            <w:r w:rsidRPr="00F24652">
              <w:t xml:space="preserve"> dle TSI ENE tab. 4.2.13. resp</w:t>
            </w:r>
            <w:r w:rsidR="00470B4E">
              <w:t xml:space="preserve">. dle ČSN EN 50367 ed.2, tab.8 (pro rychlost do </w:t>
            </w:r>
            <w:proofErr w:type="gramStart"/>
            <w:r w:rsidR="00470B4E">
              <w:t>160km</w:t>
            </w:r>
            <w:proofErr w:type="gramEnd"/>
            <w:r w:rsidR="00470B4E">
              <w:t>/h - 20m u 3kV a 35m u 25kV)</w:t>
            </w:r>
          </w:p>
          <w:p w14:paraId="6B93ECED" w14:textId="77777777" w:rsidR="007941A6" w:rsidRPr="00F24652" w:rsidRDefault="007941A6" w:rsidP="00F24652"/>
        </w:tc>
      </w:tr>
      <w:tr w:rsidR="007941A6" w:rsidRPr="00F24652" w14:paraId="4D942C76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7027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Materiál trolejového vodiče – 4.2.14</w:t>
            </w:r>
          </w:p>
          <w:p w14:paraId="55DD677A" w14:textId="77777777" w:rsidR="007941A6" w:rsidRPr="00F24652" w:rsidRDefault="00470B4E" w:rsidP="00F24652">
            <w:r>
              <w:t xml:space="preserve">Přípustné materiály pro trolejové vodiče jsou měď a slitina mědi. </w:t>
            </w:r>
            <w:r w:rsidR="007941A6" w:rsidRPr="00F24652">
              <w:t>Trolejový vodič splňuje požadavky bodů 4.2 (kromě odkazu na přílohu B normy), 4.3 a 4.6 až 4.8 normy EN 50149:2012.</w:t>
            </w:r>
          </w:p>
          <w:p w14:paraId="29D78EF6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054CC52F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9471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fáze – 4.2.15</w:t>
            </w:r>
          </w:p>
          <w:p w14:paraId="219D8A45" w14:textId="77777777" w:rsidR="00470B4E" w:rsidRDefault="00470B4E" w:rsidP="00F24652">
            <w:pPr>
              <w:rPr>
                <w:bCs/>
              </w:rPr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 nejsou navrženy.</w:t>
            </w:r>
          </w:p>
          <w:p w14:paraId="33CE3D07" w14:textId="77777777" w:rsidR="00470B4E" w:rsidRDefault="00470B4E" w:rsidP="00F24652">
            <w:pPr>
              <w:rPr>
                <w:bCs/>
              </w:rPr>
            </w:pPr>
          </w:p>
          <w:p w14:paraId="0A0805B8" w14:textId="77777777" w:rsidR="00470B4E" w:rsidRDefault="00470B4E" w:rsidP="00470B4E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– m</w:t>
            </w:r>
            <w:r>
              <w:rPr>
                <w:bCs/>
              </w:rPr>
              <w:t>usí</w:t>
            </w:r>
            <w:r w:rsidRPr="00470B4E">
              <w:rPr>
                <w:bCs/>
              </w:rPr>
              <w:t xml:space="preserve"> být navrženy tak aby </w:t>
            </w:r>
            <w:r>
              <w:rPr>
                <w:bCs/>
              </w:rPr>
              <w:t xml:space="preserve">umožnily přejezd z jednoho úseku do sousedního bez přemostění obou fází. Musí být navržené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proofErr w:type="gramStart"/>
            <w:r>
              <w:t>) ,</w:t>
            </w:r>
            <w:proofErr w:type="gramEnd"/>
            <w:r>
              <w:t xml:space="preserve"> u S</w:t>
            </w:r>
            <w:r w:rsidR="00C25D1B">
              <w:t>právy železnic</w:t>
            </w:r>
            <w:r>
              <w:t xml:space="preserve"> upřesněné „Metodickým pokynem k projektování neutrálních úseků oddělení fází a soustav na síti SŽDC:2018“. </w:t>
            </w:r>
          </w:p>
          <w:p w14:paraId="70D024F4" w14:textId="77777777" w:rsidR="00470B4E" w:rsidRDefault="00470B4E" w:rsidP="00470B4E">
            <w:pPr>
              <w:jc w:val="both"/>
            </w:pPr>
          </w:p>
          <w:p w14:paraId="7C269EEC" w14:textId="77777777" w:rsidR="00470B4E" w:rsidRPr="00470B4E" w:rsidRDefault="00470B4E" w:rsidP="00470B4E">
            <w:pPr>
              <w:jc w:val="both"/>
              <w:rPr>
                <w:bCs/>
              </w:rPr>
            </w:pPr>
            <w:r>
              <w:t xml:space="preserve">Při výhledovém stavu napájení 25kV, </w:t>
            </w:r>
            <w:proofErr w:type="gramStart"/>
            <w:r>
              <w:t>50Hz</w:t>
            </w:r>
            <w:proofErr w:type="gramEnd"/>
            <w:r>
              <w:t xml:space="preserve"> se uvažuje s jednotnou fází zajištěnou měničovými napájecími stanicemi, proto nejsou úseky oddělující fáze navrženy ani pro výhledový stav.</w:t>
            </w:r>
          </w:p>
          <w:p w14:paraId="70ABAE5B" w14:textId="77777777" w:rsidR="007941A6" w:rsidRPr="00F24652" w:rsidRDefault="007941A6" w:rsidP="00F24652"/>
        </w:tc>
      </w:tr>
      <w:tr w:rsidR="007941A6" w:rsidRPr="00F24652" w14:paraId="59EF69B4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53BE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soustavy – 4.2.16</w:t>
            </w:r>
          </w:p>
          <w:p w14:paraId="31DA9EA7" w14:textId="77777777" w:rsidR="00470B4E" w:rsidRDefault="00470B4E" w:rsidP="00470B4E">
            <w:pPr>
              <w:jc w:val="both"/>
            </w:pPr>
            <w:r>
              <w:rPr>
                <w:bCs/>
              </w:rPr>
              <w:t>Úsek m</w:t>
            </w:r>
            <w:r w:rsidRPr="00470B4E">
              <w:rPr>
                <w:bCs/>
              </w:rPr>
              <w:t>usí být navržen tak, aby</w:t>
            </w:r>
            <w:r>
              <w:rPr>
                <w:bCs/>
              </w:rPr>
              <w:t xml:space="preserve"> zabránil elektrickému propojení dvou napájecích soustav neúmyslně zvednutým sběračem.  Úsek musí být navržený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r>
              <w:t>), u S</w:t>
            </w:r>
            <w:r w:rsidR="00C25D1B">
              <w:t xml:space="preserve">právy </w:t>
            </w:r>
            <w:proofErr w:type="spellStart"/>
            <w:r w:rsidR="00C25D1B">
              <w:t>želenic</w:t>
            </w:r>
            <w:proofErr w:type="spellEnd"/>
            <w:r>
              <w:t xml:space="preserve"> upřesněné „Metodickým pokynem k projektování neutrálních úseků oddělení fází a soustav na síti SŽDC:2018“. </w:t>
            </w:r>
          </w:p>
          <w:p w14:paraId="2B05459C" w14:textId="77777777" w:rsidR="00470B4E" w:rsidRPr="00470B4E" w:rsidRDefault="00470B4E" w:rsidP="00F24652">
            <w:pPr>
              <w:rPr>
                <w:bCs/>
              </w:rPr>
            </w:pPr>
          </w:p>
          <w:p w14:paraId="044C3C74" w14:textId="77777777" w:rsidR="00470B4E" w:rsidRPr="00470B4E" w:rsidRDefault="00470B4E" w:rsidP="00F24652">
            <w:r>
              <w:t xml:space="preserve">Při přechodu na výhledový stav napájení 25kV bude potřeba dočasně zřizovat Úseky oddělující soustavy. Předpokládá se zřízení krátkých neutrálních úseků pomocí dvou fázových děličů s délkou úseku max. </w:t>
            </w:r>
            <w:proofErr w:type="gramStart"/>
            <w:r>
              <w:t>8m</w:t>
            </w:r>
            <w:proofErr w:type="gramEnd"/>
            <w:r>
              <w:t xml:space="preserve"> dle A1.3. EN 50 367:2012, projížděné se staženým sběračem. Proto se v projektu se nepočítá s výhledovým zřízením dlouhého (děleného) neutrálního úseku oddělení soustav.</w:t>
            </w:r>
          </w:p>
          <w:p w14:paraId="7BB7EC41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1064F8FF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1467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Pozemní systém sběru energetických údajů – 4.2.17</w:t>
            </w:r>
          </w:p>
          <w:p w14:paraId="1A96907B" w14:textId="77777777" w:rsidR="007941A6" w:rsidRPr="00F24652" w:rsidRDefault="007941A6" w:rsidP="00F24652">
            <w:r w:rsidRPr="00F24652">
              <w:t>P</w:t>
            </w:r>
            <w:r w:rsidR="0024518C">
              <w:t>arametr subsystému se netýká projektovaného trakčního vedení.</w:t>
            </w:r>
          </w:p>
          <w:p w14:paraId="1D318917" w14:textId="77777777" w:rsidR="007941A6" w:rsidRPr="00F24652" w:rsidRDefault="007941A6" w:rsidP="00F24652"/>
        </w:tc>
      </w:tr>
      <w:tr w:rsidR="007941A6" w:rsidRPr="00F24652" w14:paraId="070786D0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069D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Ochranná opatření proti úrazu elektrickým proudem – 4.2.18</w:t>
            </w:r>
          </w:p>
          <w:p w14:paraId="7E575C72" w14:textId="77777777" w:rsidR="007941A6" w:rsidRPr="00F24652" w:rsidRDefault="00C73B66" w:rsidP="00C73B66">
            <w:pPr>
              <w:jc w:val="both"/>
            </w:pPr>
            <w:r>
              <w:t>O</w:t>
            </w:r>
            <w:r w:rsidR="007941A6" w:rsidRPr="00F24652">
              <w:t>chranná opatření týkající se trakčních napájecích stanic a spínacích stanic jsou v souladu kapitolou 10.1 normy EN 50122-1:2011</w:t>
            </w:r>
            <w:r>
              <w:t xml:space="preserve"> (česká verze normy </w:t>
            </w:r>
            <w:r w:rsidRPr="00F24652">
              <w:t>ČSN EN 50</w:t>
            </w:r>
            <w:r>
              <w:t>122-1</w:t>
            </w:r>
            <w:r w:rsidRPr="00F24652">
              <w:t xml:space="preserve"> ed.2</w:t>
            </w:r>
            <w:r>
              <w:t>)</w:t>
            </w:r>
            <w:r w:rsidR="007941A6" w:rsidRPr="00F24652">
              <w:t>. TNS jsou zabezpečeny proti neoprávněnému přístupu.</w:t>
            </w:r>
          </w:p>
          <w:p w14:paraId="78827014" w14:textId="77777777" w:rsidR="00C73B66" w:rsidRPr="00F24652" w:rsidRDefault="00C73B66" w:rsidP="00C73B66">
            <w:r>
              <w:t>O</w:t>
            </w:r>
            <w:r w:rsidRPr="00F24652">
              <w:t xml:space="preserve">chranná opatření týkající se </w:t>
            </w:r>
            <w:proofErr w:type="spellStart"/>
            <w:r w:rsidRPr="00F24652">
              <w:t>protidotykových</w:t>
            </w:r>
            <w:proofErr w:type="spellEnd"/>
            <w:r w:rsidRPr="00F24652">
              <w:t xml:space="preserve"> zábran na mostních objektech a objektech v blízkosti trakčního vedení jsou v souladu s EN 50122-1:2011</w:t>
            </w:r>
          </w:p>
          <w:p w14:paraId="3F12BA68" w14:textId="77777777" w:rsidR="00C73B66" w:rsidRDefault="00C73B66" w:rsidP="00C73B66">
            <w:pPr>
              <w:jc w:val="both"/>
            </w:pPr>
          </w:p>
          <w:p w14:paraId="4C860D75" w14:textId="77777777" w:rsidR="007941A6" w:rsidRDefault="00C73B66" w:rsidP="00C73B66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proofErr w:type="gramStart"/>
            <w:r>
              <w:t xml:space="preserve">DC - </w:t>
            </w:r>
            <w:r w:rsidR="007941A6" w:rsidRPr="00C73B66">
              <w:t>ochranná</w:t>
            </w:r>
            <w:proofErr w:type="gramEnd"/>
            <w:r w:rsidR="007941A6" w:rsidRPr="00C73B66">
              <w:t xml:space="preserve"> opatření jsou navržena souladu s normou ČSN EN 50122-1 ed.2 s body 5.2.1, 5.3.1, 5.3.2, 6.1, 6.2, 9.</w:t>
            </w:r>
            <w:r>
              <w:t>3</w:t>
            </w:r>
            <w:r w:rsidR="007941A6" w:rsidRPr="00C73B66">
              <w:t>.2.1, 9.</w:t>
            </w:r>
            <w:r>
              <w:t>3</w:t>
            </w:r>
            <w:r w:rsidR="007941A6" w:rsidRPr="00C73B66">
              <w:t>.2.2</w:t>
            </w:r>
          </w:p>
          <w:p w14:paraId="4DBF2E00" w14:textId="77777777" w:rsidR="00C73B66" w:rsidRDefault="00C73B66" w:rsidP="00C73B66">
            <w:pPr>
              <w:jc w:val="both"/>
            </w:pPr>
          </w:p>
          <w:p w14:paraId="3A549070" w14:textId="77777777" w:rsidR="00C73B66" w:rsidRPr="00F24652" w:rsidRDefault="00C73B66" w:rsidP="00C73B66">
            <w:pPr>
              <w:jc w:val="both"/>
              <w:rPr>
                <w:b/>
              </w:rPr>
            </w:pPr>
            <w:r>
              <w:t>Pro napájecí soustavu 25kV 50</w:t>
            </w:r>
            <w:proofErr w:type="gramStart"/>
            <w:r>
              <w:t>Hz  -</w:t>
            </w:r>
            <w:proofErr w:type="gramEnd"/>
            <w:r>
              <w:t xml:space="preserve"> </w:t>
            </w:r>
            <w:r w:rsidRPr="00C73B66">
              <w:t>ochranná opatření jsou navržena souladu s normou ČSN EN 50122-1 ed.2 s body 5.2.1, 5.3.1, 5.3.2, 6.1, 6.2, 9.2.2.1, 9.2.2.2</w:t>
            </w:r>
          </w:p>
          <w:p w14:paraId="5935FBBE" w14:textId="77777777" w:rsidR="007941A6" w:rsidRPr="00F24652" w:rsidRDefault="007941A6" w:rsidP="00C73B66"/>
        </w:tc>
      </w:tr>
      <w:bookmarkEnd w:id="102"/>
    </w:tbl>
    <w:p w14:paraId="46CB846C" w14:textId="77777777" w:rsidR="005D055E" w:rsidRPr="00F24652" w:rsidRDefault="005D055E" w:rsidP="00F24652">
      <w:pPr>
        <w:rPr>
          <w:szCs w:val="22"/>
        </w:rPr>
      </w:pPr>
    </w:p>
    <w:sectPr w:rsidR="005D055E" w:rsidRPr="00F24652" w:rsidSect="004061A4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701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CD106" w14:textId="77777777" w:rsidR="00310C85" w:rsidRDefault="00310C85">
      <w:r>
        <w:separator/>
      </w:r>
    </w:p>
  </w:endnote>
  <w:endnote w:type="continuationSeparator" w:id="0">
    <w:p w14:paraId="602106F0" w14:textId="77777777" w:rsidR="00310C85" w:rsidRDefault="0031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BEF30" w14:textId="77777777" w:rsidR="00310C85" w:rsidRDefault="00310C8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483CF70" w14:textId="77777777" w:rsidR="00310C85" w:rsidRDefault="00310C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B9745" w14:textId="77777777" w:rsidR="00310C85" w:rsidRPr="00137B02" w:rsidRDefault="00310C85" w:rsidP="00137B02">
    <w:pPr>
      <w:pStyle w:val="Zhlav"/>
      <w:pBdr>
        <w:top w:val="single" w:sz="4" w:space="1" w:color="auto"/>
      </w:pBdr>
      <w:tabs>
        <w:tab w:val="clear" w:pos="4536"/>
        <w:tab w:val="clear" w:pos="9072"/>
      </w:tabs>
      <w:jc w:val="center"/>
      <w:rPr>
        <w:sz w:val="24"/>
        <w:szCs w:val="24"/>
      </w:rPr>
    </w:pPr>
    <w:r w:rsidRPr="00137B02">
      <w:rPr>
        <w:noProof/>
        <w:sz w:val="24"/>
        <w:szCs w:val="24"/>
      </w:rPr>
      <mc:AlternateContent>
        <mc:Choice Requires="wps">
          <w:drawing>
            <wp:inline distT="0" distB="0" distL="0" distR="0" wp14:anchorId="1D1D8B27" wp14:editId="11701ECD">
              <wp:extent cx="565785" cy="191770"/>
              <wp:effectExtent l="0" t="0" r="0" b="0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5A6AD4" w14:textId="77777777" w:rsidR="00310C85" w:rsidRPr="00137B02" w:rsidRDefault="00310C85" w:rsidP="00137B02">
                          <w:pPr>
                            <w:jc w:val="center"/>
                          </w:pPr>
                          <w:r w:rsidRPr="00137B02">
                            <w:fldChar w:fldCharType="begin"/>
                          </w:r>
                          <w:r w:rsidRPr="00137B02">
                            <w:instrText xml:space="preserve"> PAGE   \* MERGEFORMAT </w:instrText>
                          </w:r>
                          <w:r w:rsidRPr="00137B02">
                            <w:fldChar w:fldCharType="separate"/>
                          </w:r>
                          <w:r w:rsidR="00FF6DCC">
                            <w:rPr>
                              <w:noProof/>
                            </w:rPr>
                            <w:t>12</w:t>
                          </w:r>
                          <w:r w:rsidRPr="00137B0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D1D8B27" id="Rectangle 1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DYw+QEAAM0DAAAOAAAAZHJzL2Uyb0RvYy54bWysU1Fv0zAQfkfiP1h+p0mmde2iptO0aYA0&#10;2MTgB7iO3Vg4PnN2m5Rfz9npygZviDxYvvPnz/d9d1ldjb1le4XBgGt4NSs5U05Ca9y24d++3r1b&#10;chaicK2w4FTDDyrwq/XbN6vB1+oMOrCtQkYkLtSDb3gXo6+LIshO9SLMwCtHhxqwF5FC3BYtioHY&#10;e1ucleVFMQC2HkGqECh7Ox3ydebXWsn4oHVQkdmGU20xr5jXTVqL9UrUWxS+M/JYhviHKnphHD16&#10;oroVUbAdmr+oeiMRAug4k9AXoLWRKmsgNVX5h5qnTniVtZA5wZ9sCv+PVn7ePyIzLfWOMyd6atEX&#10;Mk24rVWsSvYMPtSEevKPmAQGfw/ye2AObjpCqWtEGDolWioq44tXF1IQ6CrbDJ+gJXaxi5CdGjX2&#10;DIE6UpXLMn2caWv8h8STXiJz2Jg7dTh1So2RSUrOL+aL5ZwzSUfVZbVY5E4Wok6s6bLHEN8r6Fna&#10;NBxJUyYV+/sQSRVBnyEJ7uDOWJuHwbpXCQKmTFaVhEyGxHEzHr3ZQHsgfVkJSaB/gd7rAH9yNtBc&#10;NTz82AlUnNmPjjy6rM7P0yDmgDb4Mrt5zgoniaLhkbNpexOnod15NNsumZblOLgmP7XJkpLXUzXH&#10;emlmstLjfKehfBln1O+/cP0LAAD//wMAUEsDBBQABgAIAAAAIQBMTtFz2gAAAAMBAAAPAAAAZHJz&#10;L2Rvd25yZXYueG1sTI/NSsRAEITvgu8wtOBF3MmuIGvMZHEXPOnFrAjeOpneJJrpCZnJj29v60Uv&#10;DUUVVV9nu8V1aqIhtJ4NrFcJKOLK25ZrA6/Hx+stqBCRLXaeycAXBdjl52cZptbP/EJTEWslJRxS&#10;NNDE2Kdah6ohh2Hle2LxTn5wGEUOtbYDzlLuOr1JklvtsGVZaLCnQ0PVZzE6A4fT2xjq9xKn/f7j&#10;6ZnmIuqr1pjLi+XhHlSkJf6F4Qdf0CEXptKPbIPqDMgj8feKt71bgyoN3CQb0Hmm/7Pn3wAAAP//&#10;AwBQSwECLQAUAAYACAAAACEAtoM4kv4AAADhAQAAEwAAAAAAAAAAAAAAAAAAAAAAW0NvbnRlbnRf&#10;VHlwZXNdLnhtbFBLAQItABQABgAIAAAAIQA4/SH/1gAAAJQBAAALAAAAAAAAAAAAAAAAAC8BAABf&#10;cmVscy8ucmVsc1BLAQItABQABgAIAAAAIQB0jDYw+QEAAM0DAAAOAAAAAAAAAAAAAAAAAC4CAABk&#10;cnMvZTJvRG9jLnhtbFBLAQItABQABgAIAAAAIQBMTtFz2gAAAAMBAAAPAAAAAAAAAAAAAAAAAFME&#10;AABkcnMvZG93bnJldi54bWxQSwUGAAAAAAQABADzAAAAWgUAAAAA&#10;" filled="f" fillcolor="#c0504d" stroked="f" strokecolor="#4f81bd" strokeweight="2.25pt">
              <v:textbox inset=",0,,0">
                <w:txbxContent>
                  <w:p w14:paraId="155A6AD4" w14:textId="77777777" w:rsidR="00310C85" w:rsidRPr="00137B02" w:rsidRDefault="00310C85" w:rsidP="00137B02">
                    <w:pPr>
                      <w:jc w:val="center"/>
                    </w:pPr>
                    <w:r w:rsidRPr="00137B02">
                      <w:fldChar w:fldCharType="begin"/>
                    </w:r>
                    <w:r w:rsidRPr="00137B02">
                      <w:instrText xml:space="preserve"> PAGE   \* MERGEFORMAT </w:instrText>
                    </w:r>
                    <w:r w:rsidRPr="00137B02">
                      <w:fldChar w:fldCharType="separate"/>
                    </w:r>
                    <w:r w:rsidR="00FF6DCC">
                      <w:rPr>
                        <w:noProof/>
                      </w:rPr>
                      <w:t>12</w:t>
                    </w:r>
                    <w:r w:rsidRPr="00137B02"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3F92E" w14:textId="77777777" w:rsidR="00310C85" w:rsidRDefault="00310C85">
      <w:r>
        <w:separator/>
      </w:r>
    </w:p>
  </w:footnote>
  <w:footnote w:type="continuationSeparator" w:id="0">
    <w:p w14:paraId="7A4CC579" w14:textId="77777777" w:rsidR="00310C85" w:rsidRDefault="00310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357D5" w14:textId="77777777" w:rsidR="00310C85" w:rsidRDefault="00310C85">
    <w:pPr>
      <w:pStyle w:val="Zhlav"/>
      <w:rPr>
        <w:sz w:val="24"/>
      </w:rPr>
    </w:pPr>
  </w:p>
  <w:p w14:paraId="480D5188" w14:textId="77777777" w:rsidR="00310C85" w:rsidRPr="00C400D6" w:rsidRDefault="00310C85">
    <w:pPr>
      <w:pStyle w:val="Zhlav"/>
      <w:rPr>
        <w:snapToGrid w:val="0"/>
        <w:sz w:val="18"/>
      </w:rPr>
    </w:pPr>
  </w:p>
  <w:p w14:paraId="41FDAF5D" w14:textId="77777777" w:rsidR="00310C85" w:rsidRDefault="00310C85" w:rsidP="006B1E8C">
    <w:pPr>
      <w:pStyle w:val="Zhlav"/>
      <w:rPr>
        <w:rFonts w:ascii="Arial" w:hAnsi="Arial"/>
        <w:b/>
        <w:color w:val="FF0000"/>
      </w:rPr>
    </w:pPr>
    <w:r w:rsidRPr="005325FB">
      <w:rPr>
        <w:rFonts w:ascii="Arial" w:hAnsi="Arial"/>
        <w:b/>
        <w:szCs w:val="22"/>
      </w:rPr>
      <w:t>Zařízení pro monitoring sběračů elektrických hnacích vozidel</w:t>
    </w:r>
    <w:r w:rsidRPr="00065E6E">
      <w:rPr>
        <w:rFonts w:ascii="Arial" w:hAnsi="Arial"/>
        <w:b/>
        <w:color w:val="FF0000"/>
      </w:rPr>
      <w:t xml:space="preserve"> </w:t>
    </w:r>
  </w:p>
  <w:p w14:paraId="3C3D5E46" w14:textId="77777777" w:rsidR="00E65EC8" w:rsidRPr="002D664F" w:rsidRDefault="00E65EC8" w:rsidP="00E65EC8">
    <w:pPr>
      <w:jc w:val="both"/>
      <w:rPr>
        <w:b/>
        <w:sz w:val="28"/>
        <w:szCs w:val="28"/>
      </w:rPr>
    </w:pPr>
    <w:r>
      <w:rPr>
        <w:b/>
        <w:sz w:val="28"/>
        <w:szCs w:val="28"/>
      </w:rPr>
      <w:t>SO 06-02 Horní Měcholupy,</w:t>
    </w:r>
    <w:r w:rsidRPr="00667307">
      <w:rPr>
        <w:b/>
        <w:sz w:val="28"/>
        <w:szCs w:val="28"/>
      </w:rPr>
      <w:t xml:space="preserve"> úprava trakčního vedení </w:t>
    </w:r>
  </w:p>
  <w:p w14:paraId="195674F4" w14:textId="77777777" w:rsidR="00310C85" w:rsidRDefault="00310C85" w:rsidP="006F1626">
    <w:pPr>
      <w:pStyle w:val="Zhlav"/>
      <w:rPr>
        <w:sz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F48FC"/>
    <w:multiLevelType w:val="hybridMultilevel"/>
    <w:tmpl w:val="4EAC7A6E"/>
    <w:lvl w:ilvl="0" w:tplc="82D46626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94E13"/>
    <w:multiLevelType w:val="hybridMultilevel"/>
    <w:tmpl w:val="E1F64DFC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726E79A6">
      <w:numFmt w:val="bullet"/>
      <w:lvlText w:val="—"/>
      <w:lvlJc w:val="left"/>
      <w:pPr>
        <w:tabs>
          <w:tab w:val="num" w:pos="2869"/>
        </w:tabs>
        <w:ind w:left="2869" w:hanging="360"/>
      </w:pPr>
      <w:rPr>
        <w:rFonts w:ascii="Times New Roman" w:eastAsia="Times New Roman" w:hAnsi="Times New Roman" w:cs="Times New Roman" w:hint="default"/>
      </w:rPr>
    </w:lvl>
    <w:lvl w:ilvl="3" w:tplc="5F98BC9E">
      <w:start w:val="1"/>
      <w:numFmt w:val="bullet"/>
      <w:lvlText w:val="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856BBA"/>
    <w:multiLevelType w:val="hybridMultilevel"/>
    <w:tmpl w:val="28F0057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1725"/>
    <w:multiLevelType w:val="hybridMultilevel"/>
    <w:tmpl w:val="44D65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1CF4"/>
    <w:multiLevelType w:val="multilevel"/>
    <w:tmpl w:val="ECAADAD8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2E5022"/>
    <w:multiLevelType w:val="multilevel"/>
    <w:tmpl w:val="BB2AAF14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1D033B9F"/>
    <w:multiLevelType w:val="hybridMultilevel"/>
    <w:tmpl w:val="FE9432E8"/>
    <w:lvl w:ilvl="0" w:tplc="1584E4E2">
      <w:start w:val="2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E28A2"/>
    <w:multiLevelType w:val="hybridMultilevel"/>
    <w:tmpl w:val="09B8432C"/>
    <w:lvl w:ilvl="0" w:tplc="5CE2E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64998"/>
    <w:multiLevelType w:val="hybridMultilevel"/>
    <w:tmpl w:val="A82AC3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800C5"/>
    <w:multiLevelType w:val="hybridMultilevel"/>
    <w:tmpl w:val="6D82841A"/>
    <w:lvl w:ilvl="0" w:tplc="FAB800EA">
      <w:start w:val="1"/>
      <w:numFmt w:val="bullet"/>
      <w:lvlText w:val=""/>
      <w:lvlJc w:val="left"/>
      <w:pPr>
        <w:tabs>
          <w:tab w:val="num" w:pos="1021"/>
        </w:tabs>
        <w:ind w:left="1021" w:hanging="567"/>
      </w:pPr>
      <w:rPr>
        <w:rFonts w:ascii="Symbol" w:hAnsi="Symbol" w:hint="default"/>
      </w:rPr>
    </w:lvl>
    <w:lvl w:ilvl="1" w:tplc="5D9A5F80">
      <w:start w:val="4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6F426B6"/>
    <w:multiLevelType w:val="hybridMultilevel"/>
    <w:tmpl w:val="AF86391A"/>
    <w:lvl w:ilvl="0" w:tplc="3B324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900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46A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A0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B2D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6F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67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0DA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1E53"/>
    <w:multiLevelType w:val="hybridMultilevel"/>
    <w:tmpl w:val="238E4092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D7F"/>
    <w:multiLevelType w:val="hybridMultilevel"/>
    <w:tmpl w:val="75A6EA4A"/>
    <w:lvl w:ilvl="0" w:tplc="15A6C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ED49AE"/>
    <w:multiLevelType w:val="hybridMultilevel"/>
    <w:tmpl w:val="9B908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047E18"/>
    <w:multiLevelType w:val="hybridMultilevel"/>
    <w:tmpl w:val="6BB6BDD2"/>
    <w:lvl w:ilvl="0" w:tplc="0405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173DF"/>
    <w:multiLevelType w:val="hybridMultilevel"/>
    <w:tmpl w:val="480664F4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005526"/>
    <w:multiLevelType w:val="hybridMultilevel"/>
    <w:tmpl w:val="C37E5C7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036709"/>
    <w:multiLevelType w:val="multilevel"/>
    <w:tmpl w:val="63F402A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A445B08"/>
    <w:multiLevelType w:val="hybridMultilevel"/>
    <w:tmpl w:val="05363460"/>
    <w:lvl w:ilvl="0" w:tplc="A4D88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8EE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CCABC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E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AB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CF2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F47B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A9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FCF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D16E9"/>
    <w:multiLevelType w:val="hybridMultilevel"/>
    <w:tmpl w:val="29E49DDC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5A6CCC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343C8D"/>
    <w:multiLevelType w:val="hybridMultilevel"/>
    <w:tmpl w:val="6FE0887C"/>
    <w:lvl w:ilvl="0" w:tplc="55865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B16BD"/>
    <w:multiLevelType w:val="hybridMultilevel"/>
    <w:tmpl w:val="EE7A4C7E"/>
    <w:lvl w:ilvl="0" w:tplc="881E5C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34FF0"/>
    <w:multiLevelType w:val="multilevel"/>
    <w:tmpl w:val="D62282A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26B24C7"/>
    <w:multiLevelType w:val="hybridMultilevel"/>
    <w:tmpl w:val="51C0B9F0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E27A6"/>
    <w:multiLevelType w:val="multilevel"/>
    <w:tmpl w:val="33BE711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hint="default"/>
        <w:b/>
        <w:sz w:val="22"/>
      </w:rPr>
    </w:lvl>
    <w:lvl w:ilvl="1">
      <w:start w:val="1"/>
      <w:numFmt w:val="decimal"/>
      <w:isLgl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5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5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AB229C"/>
    <w:multiLevelType w:val="hybridMultilevel"/>
    <w:tmpl w:val="7C0423E6"/>
    <w:lvl w:ilvl="0" w:tplc="15A6CCC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C6CD1"/>
    <w:multiLevelType w:val="hybridMultilevel"/>
    <w:tmpl w:val="FD2C31C6"/>
    <w:lvl w:ilvl="0" w:tplc="0405000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6169EB"/>
    <w:multiLevelType w:val="hybridMultilevel"/>
    <w:tmpl w:val="489E3F3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StylNadpis3Arial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3446C"/>
    <w:multiLevelType w:val="hybridMultilevel"/>
    <w:tmpl w:val="37703F6C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874ED"/>
    <w:multiLevelType w:val="hybridMultilevel"/>
    <w:tmpl w:val="FE70BE7C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454FF"/>
    <w:multiLevelType w:val="multilevel"/>
    <w:tmpl w:val="3E1412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BD4046"/>
    <w:multiLevelType w:val="hybridMultilevel"/>
    <w:tmpl w:val="F14C75D0"/>
    <w:lvl w:ilvl="0" w:tplc="15A6CCC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37FC4"/>
    <w:multiLevelType w:val="hybridMultilevel"/>
    <w:tmpl w:val="94BEE148"/>
    <w:lvl w:ilvl="0" w:tplc="040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F4979"/>
    <w:multiLevelType w:val="multilevel"/>
    <w:tmpl w:val="FB3E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3A0338"/>
    <w:multiLevelType w:val="hybridMultilevel"/>
    <w:tmpl w:val="55C85D8E"/>
    <w:lvl w:ilvl="0" w:tplc="6CC41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B81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4E31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4E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E5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08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05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CA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0E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37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6"/>
  </w:num>
  <w:num w:numId="5">
    <w:abstractNumId w:val="13"/>
  </w:num>
  <w:num w:numId="6">
    <w:abstractNumId w:val="22"/>
  </w:num>
  <w:num w:numId="7">
    <w:abstractNumId w:val="6"/>
  </w:num>
  <w:num w:numId="8">
    <w:abstractNumId w:val="35"/>
  </w:num>
  <w:num w:numId="9">
    <w:abstractNumId w:val="21"/>
  </w:num>
  <w:num w:numId="10">
    <w:abstractNumId w:val="24"/>
  </w:num>
  <w:num w:numId="11">
    <w:abstractNumId w:val="30"/>
  </w:num>
  <w:num w:numId="12">
    <w:abstractNumId w:val="8"/>
  </w:num>
  <w:num w:numId="13">
    <w:abstractNumId w:val="7"/>
  </w:num>
  <w:num w:numId="14">
    <w:abstractNumId w:val="34"/>
  </w:num>
  <w:num w:numId="15">
    <w:abstractNumId w:val="15"/>
  </w:num>
  <w:num w:numId="16">
    <w:abstractNumId w:val="19"/>
  </w:num>
  <w:num w:numId="17">
    <w:abstractNumId w:val="29"/>
  </w:num>
  <w:num w:numId="18">
    <w:abstractNumId w:val="33"/>
  </w:num>
  <w:num w:numId="19">
    <w:abstractNumId w:val="12"/>
  </w:num>
  <w:num w:numId="20">
    <w:abstractNumId w:val="11"/>
  </w:num>
  <w:num w:numId="21">
    <w:abstractNumId w:val="32"/>
  </w:num>
  <w:num w:numId="22">
    <w:abstractNumId w:val="16"/>
  </w:num>
  <w:num w:numId="23">
    <w:abstractNumId w:val="20"/>
  </w:num>
  <w:num w:numId="24">
    <w:abstractNumId w:val="18"/>
  </w:num>
  <w:num w:numId="25">
    <w:abstractNumId w:val="27"/>
  </w:num>
  <w:num w:numId="26">
    <w:abstractNumId w:val="9"/>
  </w:num>
  <w:num w:numId="27">
    <w:abstractNumId w:val="17"/>
  </w:num>
  <w:num w:numId="28">
    <w:abstractNumId w:val="4"/>
  </w:num>
  <w:num w:numId="29">
    <w:abstractNumId w:val="1"/>
  </w:num>
  <w:num w:numId="30">
    <w:abstractNumId w:val="31"/>
  </w:num>
  <w:num w:numId="31">
    <w:abstractNumId w:val="23"/>
  </w:num>
  <w:num w:numId="32">
    <w:abstractNumId w:val="25"/>
  </w:num>
  <w:num w:numId="33">
    <w:abstractNumId w:val="2"/>
  </w:num>
  <w:num w:numId="34">
    <w:abstractNumId w:val="14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129"/>
    <w:rsid w:val="000133DF"/>
    <w:rsid w:val="000154B0"/>
    <w:rsid w:val="0002340A"/>
    <w:rsid w:val="00024637"/>
    <w:rsid w:val="00036843"/>
    <w:rsid w:val="00040FF4"/>
    <w:rsid w:val="00043E2D"/>
    <w:rsid w:val="00043EE4"/>
    <w:rsid w:val="000561FF"/>
    <w:rsid w:val="00065E6E"/>
    <w:rsid w:val="0006708B"/>
    <w:rsid w:val="0007588B"/>
    <w:rsid w:val="00082470"/>
    <w:rsid w:val="0008598A"/>
    <w:rsid w:val="000907C1"/>
    <w:rsid w:val="00096FFC"/>
    <w:rsid w:val="000A0423"/>
    <w:rsid w:val="000D7F27"/>
    <w:rsid w:val="000E14A7"/>
    <w:rsid w:val="000E20A7"/>
    <w:rsid w:val="000E64BE"/>
    <w:rsid w:val="000F161A"/>
    <w:rsid w:val="000F291C"/>
    <w:rsid w:val="000F5B07"/>
    <w:rsid w:val="0010587A"/>
    <w:rsid w:val="00106EED"/>
    <w:rsid w:val="00112111"/>
    <w:rsid w:val="00120652"/>
    <w:rsid w:val="00120727"/>
    <w:rsid w:val="00120D94"/>
    <w:rsid w:val="00130DB2"/>
    <w:rsid w:val="00131A26"/>
    <w:rsid w:val="0013236D"/>
    <w:rsid w:val="00136E04"/>
    <w:rsid w:val="00137172"/>
    <w:rsid w:val="00137B02"/>
    <w:rsid w:val="00152253"/>
    <w:rsid w:val="00155DD6"/>
    <w:rsid w:val="00157F9A"/>
    <w:rsid w:val="001625F3"/>
    <w:rsid w:val="00164CBC"/>
    <w:rsid w:val="00164F90"/>
    <w:rsid w:val="00166083"/>
    <w:rsid w:val="001738B8"/>
    <w:rsid w:val="00175DA2"/>
    <w:rsid w:val="00177C8F"/>
    <w:rsid w:val="001851A3"/>
    <w:rsid w:val="00191063"/>
    <w:rsid w:val="001A0635"/>
    <w:rsid w:val="001A4381"/>
    <w:rsid w:val="001A507F"/>
    <w:rsid w:val="001A7F0F"/>
    <w:rsid w:val="001B1011"/>
    <w:rsid w:val="001B1142"/>
    <w:rsid w:val="001B7D66"/>
    <w:rsid w:val="001C14D5"/>
    <w:rsid w:val="001C55C9"/>
    <w:rsid w:val="001D7CC7"/>
    <w:rsid w:val="001E36FB"/>
    <w:rsid w:val="001E69B3"/>
    <w:rsid w:val="001F062A"/>
    <w:rsid w:val="001F198C"/>
    <w:rsid w:val="00203A2E"/>
    <w:rsid w:val="00203ECD"/>
    <w:rsid w:val="002045A8"/>
    <w:rsid w:val="00206483"/>
    <w:rsid w:val="002073F3"/>
    <w:rsid w:val="002109C2"/>
    <w:rsid w:val="00213C94"/>
    <w:rsid w:val="00214BCE"/>
    <w:rsid w:val="00222761"/>
    <w:rsid w:val="00235813"/>
    <w:rsid w:val="00240886"/>
    <w:rsid w:val="002425B2"/>
    <w:rsid w:val="0024518C"/>
    <w:rsid w:val="00246D9B"/>
    <w:rsid w:val="002523DD"/>
    <w:rsid w:val="0025550A"/>
    <w:rsid w:val="002562E3"/>
    <w:rsid w:val="00257413"/>
    <w:rsid w:val="0026489F"/>
    <w:rsid w:val="0026491F"/>
    <w:rsid w:val="00265399"/>
    <w:rsid w:val="002671C8"/>
    <w:rsid w:val="0027190F"/>
    <w:rsid w:val="00284337"/>
    <w:rsid w:val="00284B93"/>
    <w:rsid w:val="00286913"/>
    <w:rsid w:val="002869CB"/>
    <w:rsid w:val="00291D71"/>
    <w:rsid w:val="002A2562"/>
    <w:rsid w:val="002A3B9F"/>
    <w:rsid w:val="002A3C4F"/>
    <w:rsid w:val="002B13D4"/>
    <w:rsid w:val="002B2A50"/>
    <w:rsid w:val="002B2CFF"/>
    <w:rsid w:val="002B64BB"/>
    <w:rsid w:val="002C1DFC"/>
    <w:rsid w:val="002C2843"/>
    <w:rsid w:val="002C4A73"/>
    <w:rsid w:val="002C50F4"/>
    <w:rsid w:val="002D1280"/>
    <w:rsid w:val="002D3BF0"/>
    <w:rsid w:val="002D4CC8"/>
    <w:rsid w:val="002D6583"/>
    <w:rsid w:val="002E2134"/>
    <w:rsid w:val="002F12E7"/>
    <w:rsid w:val="002F1386"/>
    <w:rsid w:val="002F4032"/>
    <w:rsid w:val="002F40A0"/>
    <w:rsid w:val="00303BE2"/>
    <w:rsid w:val="0030686D"/>
    <w:rsid w:val="00310C85"/>
    <w:rsid w:val="00316ED1"/>
    <w:rsid w:val="00324076"/>
    <w:rsid w:val="00325490"/>
    <w:rsid w:val="003254FA"/>
    <w:rsid w:val="00330BB9"/>
    <w:rsid w:val="00332A69"/>
    <w:rsid w:val="00335B6F"/>
    <w:rsid w:val="00341F98"/>
    <w:rsid w:val="003470A7"/>
    <w:rsid w:val="003500DF"/>
    <w:rsid w:val="003548A2"/>
    <w:rsid w:val="00366857"/>
    <w:rsid w:val="00367C50"/>
    <w:rsid w:val="0037141F"/>
    <w:rsid w:val="00376724"/>
    <w:rsid w:val="00376CA2"/>
    <w:rsid w:val="0038312B"/>
    <w:rsid w:val="0039113A"/>
    <w:rsid w:val="003914E0"/>
    <w:rsid w:val="0039396B"/>
    <w:rsid w:val="00394A63"/>
    <w:rsid w:val="003964D5"/>
    <w:rsid w:val="00397851"/>
    <w:rsid w:val="003A14E4"/>
    <w:rsid w:val="003A240A"/>
    <w:rsid w:val="003A5ED7"/>
    <w:rsid w:val="003A63C1"/>
    <w:rsid w:val="003C6195"/>
    <w:rsid w:val="003D1B17"/>
    <w:rsid w:val="003D621B"/>
    <w:rsid w:val="003F0844"/>
    <w:rsid w:val="003F1F41"/>
    <w:rsid w:val="003F3CBE"/>
    <w:rsid w:val="003F48BD"/>
    <w:rsid w:val="003F54F7"/>
    <w:rsid w:val="003F59B4"/>
    <w:rsid w:val="004019A4"/>
    <w:rsid w:val="004023BE"/>
    <w:rsid w:val="004061A4"/>
    <w:rsid w:val="00414EC6"/>
    <w:rsid w:val="00417857"/>
    <w:rsid w:val="004231BF"/>
    <w:rsid w:val="004257B0"/>
    <w:rsid w:val="00426739"/>
    <w:rsid w:val="004274FC"/>
    <w:rsid w:val="00433140"/>
    <w:rsid w:val="00440002"/>
    <w:rsid w:val="0044158A"/>
    <w:rsid w:val="0044264B"/>
    <w:rsid w:val="00443B3A"/>
    <w:rsid w:val="00453855"/>
    <w:rsid w:val="00456C5B"/>
    <w:rsid w:val="00456F39"/>
    <w:rsid w:val="00462644"/>
    <w:rsid w:val="00462B62"/>
    <w:rsid w:val="00470B4E"/>
    <w:rsid w:val="00471CFA"/>
    <w:rsid w:val="00473897"/>
    <w:rsid w:val="00475C18"/>
    <w:rsid w:val="00481ABD"/>
    <w:rsid w:val="00481EEF"/>
    <w:rsid w:val="004920A0"/>
    <w:rsid w:val="004A1309"/>
    <w:rsid w:val="004A1C79"/>
    <w:rsid w:val="004A2A55"/>
    <w:rsid w:val="004B317F"/>
    <w:rsid w:val="004C22C4"/>
    <w:rsid w:val="004D17DE"/>
    <w:rsid w:val="004D1E85"/>
    <w:rsid w:val="004D3446"/>
    <w:rsid w:val="004D3478"/>
    <w:rsid w:val="004D3539"/>
    <w:rsid w:val="004D35C6"/>
    <w:rsid w:val="004D518B"/>
    <w:rsid w:val="004D57CB"/>
    <w:rsid w:val="004D6D5F"/>
    <w:rsid w:val="004D7F72"/>
    <w:rsid w:val="004E0E10"/>
    <w:rsid w:val="004E23FD"/>
    <w:rsid w:val="004E462B"/>
    <w:rsid w:val="004E68AA"/>
    <w:rsid w:val="004E7A50"/>
    <w:rsid w:val="004F36FE"/>
    <w:rsid w:val="004F5934"/>
    <w:rsid w:val="00502DF6"/>
    <w:rsid w:val="00503659"/>
    <w:rsid w:val="00506552"/>
    <w:rsid w:val="00514C34"/>
    <w:rsid w:val="00515E06"/>
    <w:rsid w:val="00516414"/>
    <w:rsid w:val="00516A40"/>
    <w:rsid w:val="00522377"/>
    <w:rsid w:val="00525F76"/>
    <w:rsid w:val="005262C0"/>
    <w:rsid w:val="005267EA"/>
    <w:rsid w:val="00531362"/>
    <w:rsid w:val="005319EC"/>
    <w:rsid w:val="00532CBF"/>
    <w:rsid w:val="00535200"/>
    <w:rsid w:val="00537D7F"/>
    <w:rsid w:val="00540C73"/>
    <w:rsid w:val="0054192D"/>
    <w:rsid w:val="0054198C"/>
    <w:rsid w:val="0054227A"/>
    <w:rsid w:val="00547716"/>
    <w:rsid w:val="00550A5B"/>
    <w:rsid w:val="00551129"/>
    <w:rsid w:val="00551EFD"/>
    <w:rsid w:val="00562BB8"/>
    <w:rsid w:val="00564904"/>
    <w:rsid w:val="005653EC"/>
    <w:rsid w:val="00582E4C"/>
    <w:rsid w:val="00586809"/>
    <w:rsid w:val="005915AD"/>
    <w:rsid w:val="0059615A"/>
    <w:rsid w:val="005974BE"/>
    <w:rsid w:val="005A1B76"/>
    <w:rsid w:val="005B1019"/>
    <w:rsid w:val="005B58A7"/>
    <w:rsid w:val="005C6BB2"/>
    <w:rsid w:val="005C735A"/>
    <w:rsid w:val="005D055E"/>
    <w:rsid w:val="005D0F32"/>
    <w:rsid w:val="005D19E0"/>
    <w:rsid w:val="005D1DCC"/>
    <w:rsid w:val="005D63D2"/>
    <w:rsid w:val="005E4547"/>
    <w:rsid w:val="005E613D"/>
    <w:rsid w:val="005E6E44"/>
    <w:rsid w:val="005F3069"/>
    <w:rsid w:val="005F3217"/>
    <w:rsid w:val="005F610E"/>
    <w:rsid w:val="005F67C8"/>
    <w:rsid w:val="006063E6"/>
    <w:rsid w:val="00606B84"/>
    <w:rsid w:val="006138C4"/>
    <w:rsid w:val="00622575"/>
    <w:rsid w:val="00625434"/>
    <w:rsid w:val="00626AAE"/>
    <w:rsid w:val="00627BC3"/>
    <w:rsid w:val="00633818"/>
    <w:rsid w:val="006361D1"/>
    <w:rsid w:val="00645FFB"/>
    <w:rsid w:val="00647BB7"/>
    <w:rsid w:val="006534AF"/>
    <w:rsid w:val="00661EF4"/>
    <w:rsid w:val="00664A6B"/>
    <w:rsid w:val="00673CF8"/>
    <w:rsid w:val="0067703B"/>
    <w:rsid w:val="006935B6"/>
    <w:rsid w:val="00693D19"/>
    <w:rsid w:val="00696E00"/>
    <w:rsid w:val="006A68E6"/>
    <w:rsid w:val="006B1E8C"/>
    <w:rsid w:val="006C1C70"/>
    <w:rsid w:val="006C46E1"/>
    <w:rsid w:val="006C7A1E"/>
    <w:rsid w:val="006D0FDE"/>
    <w:rsid w:val="006D3B0C"/>
    <w:rsid w:val="006E18BB"/>
    <w:rsid w:val="006E6832"/>
    <w:rsid w:val="006F1626"/>
    <w:rsid w:val="006F4833"/>
    <w:rsid w:val="00702023"/>
    <w:rsid w:val="00703F52"/>
    <w:rsid w:val="007046AC"/>
    <w:rsid w:val="007071CA"/>
    <w:rsid w:val="00710432"/>
    <w:rsid w:val="00710E49"/>
    <w:rsid w:val="007202EF"/>
    <w:rsid w:val="00723A0C"/>
    <w:rsid w:val="00740789"/>
    <w:rsid w:val="00740A06"/>
    <w:rsid w:val="00741B50"/>
    <w:rsid w:val="007433E7"/>
    <w:rsid w:val="00753996"/>
    <w:rsid w:val="007546CC"/>
    <w:rsid w:val="0075570E"/>
    <w:rsid w:val="00760D04"/>
    <w:rsid w:val="00762E4B"/>
    <w:rsid w:val="007658E1"/>
    <w:rsid w:val="00765B78"/>
    <w:rsid w:val="00765F10"/>
    <w:rsid w:val="00765F98"/>
    <w:rsid w:val="0077472E"/>
    <w:rsid w:val="0078255C"/>
    <w:rsid w:val="00782665"/>
    <w:rsid w:val="007828D8"/>
    <w:rsid w:val="00782D22"/>
    <w:rsid w:val="00783462"/>
    <w:rsid w:val="007911C4"/>
    <w:rsid w:val="00791ABF"/>
    <w:rsid w:val="007941A6"/>
    <w:rsid w:val="00794CBE"/>
    <w:rsid w:val="00795172"/>
    <w:rsid w:val="00796D7C"/>
    <w:rsid w:val="007A2C18"/>
    <w:rsid w:val="007A35B6"/>
    <w:rsid w:val="007A4DC8"/>
    <w:rsid w:val="007B512C"/>
    <w:rsid w:val="007C0D8F"/>
    <w:rsid w:val="007C52AB"/>
    <w:rsid w:val="007C7519"/>
    <w:rsid w:val="007D0253"/>
    <w:rsid w:val="007D07B8"/>
    <w:rsid w:val="007D26D0"/>
    <w:rsid w:val="007D29FD"/>
    <w:rsid w:val="007D3220"/>
    <w:rsid w:val="007D3701"/>
    <w:rsid w:val="007E0A1B"/>
    <w:rsid w:val="007E25F7"/>
    <w:rsid w:val="007E34F8"/>
    <w:rsid w:val="007E5AA2"/>
    <w:rsid w:val="007F0B45"/>
    <w:rsid w:val="007F1AB6"/>
    <w:rsid w:val="00801A29"/>
    <w:rsid w:val="00802908"/>
    <w:rsid w:val="00807CA7"/>
    <w:rsid w:val="00807D25"/>
    <w:rsid w:val="00810648"/>
    <w:rsid w:val="00812F25"/>
    <w:rsid w:val="0081572A"/>
    <w:rsid w:val="008210FA"/>
    <w:rsid w:val="00824F45"/>
    <w:rsid w:val="00825AC7"/>
    <w:rsid w:val="00827162"/>
    <w:rsid w:val="008346ED"/>
    <w:rsid w:val="00835947"/>
    <w:rsid w:val="0083789D"/>
    <w:rsid w:val="008428BD"/>
    <w:rsid w:val="008478CA"/>
    <w:rsid w:val="00861EA9"/>
    <w:rsid w:val="008623AB"/>
    <w:rsid w:val="00876712"/>
    <w:rsid w:val="00893CA7"/>
    <w:rsid w:val="0089517A"/>
    <w:rsid w:val="00895377"/>
    <w:rsid w:val="0089619B"/>
    <w:rsid w:val="008A0751"/>
    <w:rsid w:val="008A38C5"/>
    <w:rsid w:val="008A4C33"/>
    <w:rsid w:val="008B4BE9"/>
    <w:rsid w:val="008C1E58"/>
    <w:rsid w:val="008C220B"/>
    <w:rsid w:val="008C54B7"/>
    <w:rsid w:val="008C7C9B"/>
    <w:rsid w:val="008E41B6"/>
    <w:rsid w:val="008E4ACB"/>
    <w:rsid w:val="008E4F2C"/>
    <w:rsid w:val="008F502E"/>
    <w:rsid w:val="008F6CF6"/>
    <w:rsid w:val="00901BDB"/>
    <w:rsid w:val="00901ED8"/>
    <w:rsid w:val="00903130"/>
    <w:rsid w:val="00903D85"/>
    <w:rsid w:val="00904DF3"/>
    <w:rsid w:val="00906D7E"/>
    <w:rsid w:val="00906F68"/>
    <w:rsid w:val="009204F6"/>
    <w:rsid w:val="009229CA"/>
    <w:rsid w:val="009267A6"/>
    <w:rsid w:val="00933E0E"/>
    <w:rsid w:val="009366BB"/>
    <w:rsid w:val="00936B9D"/>
    <w:rsid w:val="00940C6A"/>
    <w:rsid w:val="009422F2"/>
    <w:rsid w:val="00943A1A"/>
    <w:rsid w:val="00951D85"/>
    <w:rsid w:val="00952A65"/>
    <w:rsid w:val="0095527C"/>
    <w:rsid w:val="00957514"/>
    <w:rsid w:val="0096262F"/>
    <w:rsid w:val="00963133"/>
    <w:rsid w:val="00972CA8"/>
    <w:rsid w:val="00974924"/>
    <w:rsid w:val="0097762A"/>
    <w:rsid w:val="009855A2"/>
    <w:rsid w:val="00986E44"/>
    <w:rsid w:val="00994327"/>
    <w:rsid w:val="00996C89"/>
    <w:rsid w:val="009A4C77"/>
    <w:rsid w:val="009B56BC"/>
    <w:rsid w:val="009B6517"/>
    <w:rsid w:val="009C13ED"/>
    <w:rsid w:val="009C2E90"/>
    <w:rsid w:val="009C3492"/>
    <w:rsid w:val="009C55B1"/>
    <w:rsid w:val="009C5BD8"/>
    <w:rsid w:val="009D2071"/>
    <w:rsid w:val="009D6AC6"/>
    <w:rsid w:val="009E09B3"/>
    <w:rsid w:val="009E0D18"/>
    <w:rsid w:val="009E269C"/>
    <w:rsid w:val="009E5431"/>
    <w:rsid w:val="009E68BC"/>
    <w:rsid w:val="009F0D0A"/>
    <w:rsid w:val="009F0F0C"/>
    <w:rsid w:val="009F1A39"/>
    <w:rsid w:val="00A0366D"/>
    <w:rsid w:val="00A03D3C"/>
    <w:rsid w:val="00A04AFB"/>
    <w:rsid w:val="00A139D7"/>
    <w:rsid w:val="00A2199A"/>
    <w:rsid w:val="00A22A4D"/>
    <w:rsid w:val="00A254D0"/>
    <w:rsid w:val="00A31978"/>
    <w:rsid w:val="00A37170"/>
    <w:rsid w:val="00A37C63"/>
    <w:rsid w:val="00A41583"/>
    <w:rsid w:val="00A42AB1"/>
    <w:rsid w:val="00A42FA6"/>
    <w:rsid w:val="00A4346C"/>
    <w:rsid w:val="00A45750"/>
    <w:rsid w:val="00A561BC"/>
    <w:rsid w:val="00A579E3"/>
    <w:rsid w:val="00A6122A"/>
    <w:rsid w:val="00A63E00"/>
    <w:rsid w:val="00A64390"/>
    <w:rsid w:val="00A7107E"/>
    <w:rsid w:val="00A73A35"/>
    <w:rsid w:val="00A7476C"/>
    <w:rsid w:val="00A76D9F"/>
    <w:rsid w:val="00A922C7"/>
    <w:rsid w:val="00A96CBD"/>
    <w:rsid w:val="00A97B12"/>
    <w:rsid w:val="00A97CFD"/>
    <w:rsid w:val="00AA1F78"/>
    <w:rsid w:val="00AA544B"/>
    <w:rsid w:val="00AA5A11"/>
    <w:rsid w:val="00AB4C9D"/>
    <w:rsid w:val="00AC6D71"/>
    <w:rsid w:val="00AD64C6"/>
    <w:rsid w:val="00AD68CC"/>
    <w:rsid w:val="00AE4C85"/>
    <w:rsid w:val="00AF07EB"/>
    <w:rsid w:val="00AF1132"/>
    <w:rsid w:val="00AF19D6"/>
    <w:rsid w:val="00AF5B14"/>
    <w:rsid w:val="00B0238E"/>
    <w:rsid w:val="00B06579"/>
    <w:rsid w:val="00B12488"/>
    <w:rsid w:val="00B14ADD"/>
    <w:rsid w:val="00B303BE"/>
    <w:rsid w:val="00B364AC"/>
    <w:rsid w:val="00B36E5E"/>
    <w:rsid w:val="00B378CF"/>
    <w:rsid w:val="00B41FEA"/>
    <w:rsid w:val="00B42328"/>
    <w:rsid w:val="00B44410"/>
    <w:rsid w:val="00B45E78"/>
    <w:rsid w:val="00B5211F"/>
    <w:rsid w:val="00B60335"/>
    <w:rsid w:val="00B63B69"/>
    <w:rsid w:val="00B6665A"/>
    <w:rsid w:val="00B67425"/>
    <w:rsid w:val="00B708B5"/>
    <w:rsid w:val="00B71F4A"/>
    <w:rsid w:val="00B743B3"/>
    <w:rsid w:val="00B77BF8"/>
    <w:rsid w:val="00B77CDD"/>
    <w:rsid w:val="00B855D8"/>
    <w:rsid w:val="00B96A79"/>
    <w:rsid w:val="00B97242"/>
    <w:rsid w:val="00BA6F2E"/>
    <w:rsid w:val="00BB24B8"/>
    <w:rsid w:val="00BB3D90"/>
    <w:rsid w:val="00BB579D"/>
    <w:rsid w:val="00BB62C6"/>
    <w:rsid w:val="00BC3E9D"/>
    <w:rsid w:val="00BC57D5"/>
    <w:rsid w:val="00BC5A05"/>
    <w:rsid w:val="00BC6D32"/>
    <w:rsid w:val="00BD743C"/>
    <w:rsid w:val="00BE5D1F"/>
    <w:rsid w:val="00BF1C16"/>
    <w:rsid w:val="00BF2A79"/>
    <w:rsid w:val="00BF5208"/>
    <w:rsid w:val="00BF65C7"/>
    <w:rsid w:val="00C00995"/>
    <w:rsid w:val="00C0109C"/>
    <w:rsid w:val="00C05F0C"/>
    <w:rsid w:val="00C1244F"/>
    <w:rsid w:val="00C1631E"/>
    <w:rsid w:val="00C166FE"/>
    <w:rsid w:val="00C23A5B"/>
    <w:rsid w:val="00C25D1B"/>
    <w:rsid w:val="00C2650A"/>
    <w:rsid w:val="00C2752B"/>
    <w:rsid w:val="00C3122D"/>
    <w:rsid w:val="00C33B92"/>
    <w:rsid w:val="00C37E3A"/>
    <w:rsid w:val="00C400D6"/>
    <w:rsid w:val="00C402F2"/>
    <w:rsid w:val="00C45F0C"/>
    <w:rsid w:val="00C51946"/>
    <w:rsid w:val="00C535CD"/>
    <w:rsid w:val="00C62407"/>
    <w:rsid w:val="00C63DDC"/>
    <w:rsid w:val="00C65DA1"/>
    <w:rsid w:val="00C66215"/>
    <w:rsid w:val="00C73B66"/>
    <w:rsid w:val="00C73B91"/>
    <w:rsid w:val="00C74109"/>
    <w:rsid w:val="00C74673"/>
    <w:rsid w:val="00C76E52"/>
    <w:rsid w:val="00C82808"/>
    <w:rsid w:val="00C9219B"/>
    <w:rsid w:val="00CB2AF1"/>
    <w:rsid w:val="00CB3930"/>
    <w:rsid w:val="00CC15DE"/>
    <w:rsid w:val="00CC266B"/>
    <w:rsid w:val="00CC50C0"/>
    <w:rsid w:val="00CD0D47"/>
    <w:rsid w:val="00CD654F"/>
    <w:rsid w:val="00CE5E26"/>
    <w:rsid w:val="00CF04BD"/>
    <w:rsid w:val="00CF1E89"/>
    <w:rsid w:val="00CF2FB6"/>
    <w:rsid w:val="00D02840"/>
    <w:rsid w:val="00D05AAB"/>
    <w:rsid w:val="00D06DAF"/>
    <w:rsid w:val="00D077CF"/>
    <w:rsid w:val="00D12CB2"/>
    <w:rsid w:val="00D212C2"/>
    <w:rsid w:val="00D2799D"/>
    <w:rsid w:val="00D27BE1"/>
    <w:rsid w:val="00D41AB0"/>
    <w:rsid w:val="00D42CBE"/>
    <w:rsid w:val="00D43799"/>
    <w:rsid w:val="00D5068C"/>
    <w:rsid w:val="00D52CCE"/>
    <w:rsid w:val="00D73930"/>
    <w:rsid w:val="00D75C6E"/>
    <w:rsid w:val="00D854C0"/>
    <w:rsid w:val="00D8594B"/>
    <w:rsid w:val="00DA228E"/>
    <w:rsid w:val="00DA2799"/>
    <w:rsid w:val="00DB0BBE"/>
    <w:rsid w:val="00DB433D"/>
    <w:rsid w:val="00DC415B"/>
    <w:rsid w:val="00DD3E09"/>
    <w:rsid w:val="00DD5A26"/>
    <w:rsid w:val="00DE0C6A"/>
    <w:rsid w:val="00DE1A47"/>
    <w:rsid w:val="00DE5E4B"/>
    <w:rsid w:val="00DF0BEE"/>
    <w:rsid w:val="00DF14B2"/>
    <w:rsid w:val="00DF3343"/>
    <w:rsid w:val="00DF3845"/>
    <w:rsid w:val="00DF48E2"/>
    <w:rsid w:val="00E12DF3"/>
    <w:rsid w:val="00E214D6"/>
    <w:rsid w:val="00E3095D"/>
    <w:rsid w:val="00E31468"/>
    <w:rsid w:val="00E33D6B"/>
    <w:rsid w:val="00E35F76"/>
    <w:rsid w:val="00E36480"/>
    <w:rsid w:val="00E44F4D"/>
    <w:rsid w:val="00E50E5A"/>
    <w:rsid w:val="00E52D3B"/>
    <w:rsid w:val="00E579AD"/>
    <w:rsid w:val="00E63218"/>
    <w:rsid w:val="00E65EC8"/>
    <w:rsid w:val="00E67E7B"/>
    <w:rsid w:val="00E723F1"/>
    <w:rsid w:val="00E731B5"/>
    <w:rsid w:val="00E73E3A"/>
    <w:rsid w:val="00E747D9"/>
    <w:rsid w:val="00E75695"/>
    <w:rsid w:val="00E849BB"/>
    <w:rsid w:val="00E84A79"/>
    <w:rsid w:val="00E8602A"/>
    <w:rsid w:val="00E91997"/>
    <w:rsid w:val="00E9250A"/>
    <w:rsid w:val="00E94FC1"/>
    <w:rsid w:val="00EA1C49"/>
    <w:rsid w:val="00EB232D"/>
    <w:rsid w:val="00EB3834"/>
    <w:rsid w:val="00EC27D4"/>
    <w:rsid w:val="00ED0317"/>
    <w:rsid w:val="00EF2CB1"/>
    <w:rsid w:val="00EF4956"/>
    <w:rsid w:val="00EF7984"/>
    <w:rsid w:val="00F003FB"/>
    <w:rsid w:val="00F01526"/>
    <w:rsid w:val="00F0326C"/>
    <w:rsid w:val="00F07AD7"/>
    <w:rsid w:val="00F1122D"/>
    <w:rsid w:val="00F120C9"/>
    <w:rsid w:val="00F16A54"/>
    <w:rsid w:val="00F2147C"/>
    <w:rsid w:val="00F21B4D"/>
    <w:rsid w:val="00F2338C"/>
    <w:rsid w:val="00F23962"/>
    <w:rsid w:val="00F24652"/>
    <w:rsid w:val="00F31348"/>
    <w:rsid w:val="00F317BF"/>
    <w:rsid w:val="00F41646"/>
    <w:rsid w:val="00F45BB2"/>
    <w:rsid w:val="00F63D07"/>
    <w:rsid w:val="00F65554"/>
    <w:rsid w:val="00F65DF7"/>
    <w:rsid w:val="00F73B08"/>
    <w:rsid w:val="00F7574D"/>
    <w:rsid w:val="00F76CDC"/>
    <w:rsid w:val="00F93DEF"/>
    <w:rsid w:val="00F95395"/>
    <w:rsid w:val="00F97CFE"/>
    <w:rsid w:val="00FA3876"/>
    <w:rsid w:val="00FA3C16"/>
    <w:rsid w:val="00FB0D0D"/>
    <w:rsid w:val="00FB14FF"/>
    <w:rsid w:val="00FC1256"/>
    <w:rsid w:val="00FC3E44"/>
    <w:rsid w:val="00FD0551"/>
    <w:rsid w:val="00FD4DAE"/>
    <w:rsid w:val="00FD5D49"/>
    <w:rsid w:val="00FE1FF0"/>
    <w:rsid w:val="00FF6DCC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7E814996"/>
  <w15:docId w15:val="{8C15562A-D864-4E1D-BD81-C344C0253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0317"/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C61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10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180"/>
      <w:outlineLvl w:val="3"/>
    </w:pPr>
    <w:rPr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qFormat/>
    <w:rsid w:val="00F07AD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F07AD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ocumentMap1">
    <w:name w:val="Document Map1"/>
    <w:basedOn w:val="Normln"/>
    <w:pPr>
      <w:shd w:val="clear" w:color="auto" w:fill="000080"/>
    </w:pPr>
    <w:rPr>
      <w:rFonts w:ascii="Tahoma" w:hAnsi="Tahoma"/>
    </w:r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spacing w:before="40"/>
      <w:ind w:left="567" w:hanging="567"/>
      <w:jc w:val="both"/>
    </w:pPr>
    <w:rPr>
      <w:sz w:val="24"/>
    </w:rPr>
  </w:style>
  <w:style w:type="paragraph" w:styleId="Seznam">
    <w:name w:val="List"/>
    <w:basedOn w:val="Normln"/>
    <w:semiHidden/>
    <w:pPr>
      <w:tabs>
        <w:tab w:val="right" w:leader="dot" w:pos="8647"/>
        <w:tab w:val="right" w:pos="9072"/>
      </w:tabs>
      <w:spacing w:before="240"/>
      <w:ind w:left="567" w:hanging="567"/>
      <w:jc w:val="both"/>
    </w:pPr>
    <w:rPr>
      <w:b/>
      <w:sz w:val="24"/>
    </w:rPr>
  </w:style>
  <w:style w:type="paragraph" w:styleId="Zkladntext">
    <w:name w:val="Body Text"/>
    <w:basedOn w:val="Normln"/>
    <w:link w:val="ZkladntextChar"/>
    <w:rPr>
      <w:sz w:val="24"/>
    </w:rPr>
  </w:style>
  <w:style w:type="paragraph" w:customStyle="1" w:styleId="StylNadpis3ArialCE">
    <w:name w:val="Styl Nadpis 3 + Arial CE"/>
    <w:basedOn w:val="Nadpis3"/>
    <w:pPr>
      <w:keepLines/>
      <w:numPr>
        <w:ilvl w:val="2"/>
        <w:numId w:val="1"/>
      </w:numPr>
      <w:spacing w:before="60"/>
      <w:jc w:val="both"/>
    </w:pPr>
    <w:rPr>
      <w:rFonts w:cs="Times New Roman"/>
      <w:sz w:val="22"/>
      <w:szCs w:val="20"/>
    </w:rPr>
  </w:style>
  <w:style w:type="paragraph" w:styleId="Zkladntextodsazen">
    <w:name w:val="Body Text Indent"/>
    <w:basedOn w:val="Normln"/>
    <w:semiHidden/>
    <w:pPr>
      <w:ind w:left="284" w:hanging="142"/>
    </w:pPr>
    <w:rPr>
      <w:sz w:val="24"/>
      <w:u w:val="single"/>
    </w:rPr>
  </w:style>
  <w:style w:type="paragraph" w:styleId="Zkladntextodsazen2">
    <w:name w:val="Body Text Indent 2"/>
    <w:basedOn w:val="Normln"/>
    <w:semiHidden/>
    <w:pPr>
      <w:ind w:left="142"/>
    </w:pPr>
    <w:rPr>
      <w:sz w:val="24"/>
    </w:rPr>
  </w:style>
  <w:style w:type="paragraph" w:styleId="Zkladntextodsazen3">
    <w:name w:val="Body Text Indent 3"/>
    <w:basedOn w:val="Normln"/>
    <w:semiHidden/>
    <w:pPr>
      <w:spacing w:before="120" w:line="360" w:lineRule="auto"/>
      <w:ind w:left="2127" w:hanging="2127"/>
    </w:pPr>
    <w:rPr>
      <w:sz w:val="24"/>
    </w:rPr>
  </w:style>
  <w:style w:type="paragraph" w:styleId="Zkladntext3">
    <w:name w:val="Body Text 3"/>
    <w:basedOn w:val="Normln"/>
    <w:semiHidden/>
    <w:pPr>
      <w:spacing w:before="120"/>
    </w:pPr>
    <w:rPr>
      <w:b/>
      <w:bCs/>
      <w:sz w:val="24"/>
    </w:rPr>
  </w:style>
  <w:style w:type="paragraph" w:styleId="Bezmezer">
    <w:name w:val="No Spacing"/>
    <w:uiPriority w:val="1"/>
    <w:qFormat/>
    <w:rsid w:val="007D3701"/>
  </w:style>
  <w:style w:type="paragraph" w:styleId="Prosttext">
    <w:name w:val="Plain Text"/>
    <w:basedOn w:val="Normln"/>
    <w:link w:val="ProsttextChar"/>
    <w:uiPriority w:val="99"/>
    <w:semiHidden/>
    <w:unhideWhenUsed/>
    <w:rsid w:val="007F0B45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semiHidden/>
    <w:rsid w:val="007F0B45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dpis7Char">
    <w:name w:val="Nadpis 7 Char"/>
    <w:link w:val="Nadpis7"/>
    <w:uiPriority w:val="9"/>
    <w:semiHidden/>
    <w:rsid w:val="00F07AD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07AD7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Zkladntext21">
    <w:name w:val="Základní text 21"/>
    <w:basedOn w:val="Normln"/>
    <w:rsid w:val="00F07AD7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4E0E10"/>
    <w:pPr>
      <w:ind w:left="720"/>
    </w:pPr>
    <w:rPr>
      <w:rFonts w:ascii="Calibri" w:eastAsia="Calibri" w:hAnsi="Calibri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F3845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DF3845"/>
    <w:rPr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B84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06B84"/>
    <w:rPr>
      <w:rFonts w:ascii="Segoe UI" w:hAnsi="Segoe UI" w:cs="Segoe UI"/>
      <w:sz w:val="18"/>
      <w:szCs w:val="18"/>
    </w:rPr>
  </w:style>
  <w:style w:type="paragraph" w:customStyle="1" w:styleId="xmsolistparagraph">
    <w:name w:val="x_msolistparagraph"/>
    <w:basedOn w:val="Normln"/>
    <w:rsid w:val="005D055E"/>
    <w:pPr>
      <w:spacing w:before="100" w:beforeAutospacing="1" w:after="100" w:afterAutospacing="1"/>
    </w:pPr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3C619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B101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5B1019"/>
    <w:pPr>
      <w:ind w:left="220"/>
    </w:pPr>
  </w:style>
  <w:style w:type="character" w:styleId="Hypertextovodkaz">
    <w:name w:val="Hyperlink"/>
    <w:uiPriority w:val="99"/>
    <w:unhideWhenUsed/>
    <w:rsid w:val="005B1019"/>
    <w:rPr>
      <w:color w:val="0000FF"/>
      <w:u w:val="single"/>
    </w:rPr>
  </w:style>
  <w:style w:type="paragraph" w:styleId="Nzev">
    <w:name w:val="Title"/>
    <w:basedOn w:val="Nadpis2"/>
    <w:next w:val="Normln"/>
    <w:link w:val="NzevChar"/>
    <w:uiPriority w:val="10"/>
    <w:qFormat/>
    <w:rsid w:val="005B1019"/>
    <w:pPr>
      <w:keepLines/>
      <w:spacing w:before="120" w:after="120" w:line="276" w:lineRule="auto"/>
      <w:ind w:left="357" w:hanging="357"/>
      <w:jc w:val="both"/>
    </w:pPr>
    <w:rPr>
      <w:rFonts w:ascii="Arial Narrow" w:hAnsi="Arial Narrow"/>
      <w:i w:val="0"/>
      <w:iCs w:val="0"/>
      <w:sz w:val="24"/>
      <w:szCs w:val="36"/>
      <w:lang w:eastAsia="en-US"/>
    </w:rPr>
  </w:style>
  <w:style w:type="character" w:customStyle="1" w:styleId="NzevChar">
    <w:name w:val="Název Char"/>
    <w:link w:val="Nzev"/>
    <w:uiPriority w:val="10"/>
    <w:rsid w:val="005B1019"/>
    <w:rPr>
      <w:rFonts w:ascii="Arial Narrow" w:hAnsi="Arial Narrow"/>
      <w:b/>
      <w:bCs/>
      <w:sz w:val="24"/>
      <w:szCs w:val="36"/>
      <w:lang w:eastAsia="en-US"/>
    </w:rPr>
  </w:style>
  <w:style w:type="character" w:customStyle="1" w:styleId="Nadpis2Char">
    <w:name w:val="Nadpis 2 Char"/>
    <w:link w:val="Nadpis2"/>
    <w:uiPriority w:val="9"/>
    <w:rsid w:val="005B10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B1019"/>
  </w:style>
  <w:style w:type="character" w:customStyle="1" w:styleId="ZkladntextChar">
    <w:name w:val="Základní text Char"/>
    <w:link w:val="Zkladntext"/>
    <w:rsid w:val="000E20A7"/>
    <w:rPr>
      <w:sz w:val="24"/>
    </w:rPr>
  </w:style>
  <w:style w:type="character" w:customStyle="1" w:styleId="ZhlavChar">
    <w:name w:val="Záhlaví Char"/>
    <w:basedOn w:val="Standardnpsmoodstavce"/>
    <w:link w:val="Zhlav"/>
    <w:rsid w:val="00310C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4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186EA-0C38-4DAA-9D58-2994358E7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13</Pages>
  <Words>4470</Words>
  <Characters>26375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EXprojekt</Company>
  <LinksUpToDate>false</LinksUpToDate>
  <CharactersWithSpaces>30784</CharactersWithSpaces>
  <SharedDoc>false</SharedDoc>
  <HLinks>
    <vt:vector size="234" baseType="variant"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_Toc15808446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_Toc15808445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_Toc15808444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_Toc15808443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_Toc15808442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_Toc15808441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_Toc15808440</vt:lpwstr>
      </vt:variant>
      <vt:variant>
        <vt:i4>2031666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_Toc15808439</vt:lpwstr>
      </vt:variant>
      <vt:variant>
        <vt:i4>1966130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_Toc15808438</vt:lpwstr>
      </vt:variant>
      <vt:variant>
        <vt:i4>1114162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_Toc15808437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_Toc15808436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_Toc15808435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_Toc15808434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_Toc15808433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_Toc15808432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_Toc15808431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_Toc15808430</vt:lpwstr>
      </vt:variant>
      <vt:variant>
        <vt:i4>2031667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_Toc15808429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_Toc15808428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_Toc15808427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_Toc15808426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_Toc15808425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_Toc15808424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_Toc15808423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_Toc15808422</vt:lpwstr>
      </vt:variant>
      <vt:variant>
        <vt:i4>1507379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_Toc15808421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_Toc15808420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_Toc15808419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_Toc15808418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_Toc15808417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_Toc15808416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_Toc15808415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_Toc15808414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_Toc15808413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_Toc15808412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_Toc15808411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_Toc15808410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_Toc15808409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_Toc15808408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Odehnal</dc:creator>
  <cp:keywords/>
  <cp:lastModifiedBy>pavel.odehnal@uloz.onmicrosoft.com</cp:lastModifiedBy>
  <cp:revision>25</cp:revision>
  <cp:lastPrinted>2018-04-02T07:25:00Z</cp:lastPrinted>
  <dcterms:created xsi:type="dcterms:W3CDTF">2019-12-19T08:26:00Z</dcterms:created>
  <dcterms:modified xsi:type="dcterms:W3CDTF">2021-02-16T07:25:00Z</dcterms:modified>
</cp:coreProperties>
</file>